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rFonts w:eastAsia="Bitstream Vera Sans;Times New Roman"/>
          <w:sz w:val="22"/>
          <w:szCs w:val="22"/>
          <w:lang w:bidi="zxx"/>
        </w:rPr>
      </w:pPr>
      <w:r>
        <mc:AlternateContent>
          <mc:Choice Requires="wps">
            <w:drawing>
              <wp:anchor distT="5080" distB="5080" distL="5080" distR="5080" simplePos="0" relativeHeight="2" behindDoc="0" locked="0" layoutInCell="1" allowOverlap="1">
                <wp:simplePos x="0" y="0"/>
                <wp:positionH relativeFrom="column">
                  <wp:posOffset>-142875</wp:posOffset>
                </wp:positionH>
                <wp:positionV relativeFrom="paragraph">
                  <wp:posOffset>-197485</wp:posOffset>
                </wp:positionV>
                <wp:extent cx="6781800" cy="9936480"/>
                <wp:effectExtent l="5080" t="5080" r="5080" b="5080"/>
                <wp:wrapNone/>
                <wp:docPr id="1" name="Shape1"/>
                <a:graphic xmlns:a="http://schemas.openxmlformats.org/drawingml/2006/main">
                  <a:graphicData uri="http://schemas.microsoft.com/office/word/2010/wordprocessingShape">
                    <wps:wsp>
                      <wps:cNvSpPr/>
                      <wps:spPr>
                        <a:xfrm>
                          <a:off x="0" y="0"/>
                          <a:ext cx="6781680" cy="9936360"/>
                        </a:xfrm>
                        <a:prstGeom prst="rect">
                          <a:avLst/>
                        </a:prstGeom>
                        <a:noFill/>
                        <a:ln cap="sq" w="9360">
                          <a:solidFill>
                            <a:srgbClr val="000000"/>
                          </a:solidFill>
                          <a:miter/>
                        </a:ln>
                      </wps:spPr>
                      <wps:style>
                        <a:lnRef idx="0"/>
                        <a:fillRef idx="0"/>
                        <a:effectRef idx="0"/>
                        <a:fontRef idx="minor"/>
                      </wps:style>
                      <wps:bodyPr/>
                    </wps:wsp>
                  </a:graphicData>
                </a:graphic>
              </wp:anchor>
            </w:drawing>
          </mc:Choice>
          <mc:Fallback>
            <w:pict>
              <v:rect id="shape_0" stroked="t" o:allowincell="f" style="position:absolute;margin-left:-11.25pt;margin-top:-15.55pt;width:533.95pt;height:782.35pt;mso-wrap-style:none;v-text-anchor:middle">
                <v:fill o:detectmouseclick="t" on="false"/>
                <v:stroke color="black" weight="9360" joinstyle="miter" endcap="square"/>
                <w10:wrap type="none"/>
              </v:rect>
            </w:pict>
          </mc:Fallback>
        </mc:AlternateContent>
      </w:r>
      <w:r>
        <w:rPr>
          <w:sz w:val="28"/>
          <w:szCs w:val="28"/>
        </w:rPr>
        <w:t>M2 SOAC : Fiche de stage de recherche en laboratoire</w:t>
      </w:r>
    </w:p>
    <w:p>
      <w:pPr>
        <w:pStyle w:val="Normal"/>
        <w:tabs>
          <w:tab w:val="clear" w:pos="709"/>
          <w:tab w:val="left" w:pos="285" w:leader="none"/>
        </w:tabs>
        <w:jc w:val="both"/>
        <w:rPr>
          <w:rFonts w:eastAsia="Bitstream Vera Sans;Times New Roman"/>
          <w:sz w:val="22"/>
          <w:szCs w:val="22"/>
          <w:lang w:bidi="zxx"/>
        </w:rPr>
      </w:pPr>
      <w:r>
        <w:rPr>
          <w:rFonts w:eastAsia="Bitstream Vera Sans;Times New Roman"/>
          <w:sz w:val="22"/>
          <w:szCs w:val="22"/>
          <w:lang w:bidi="zxx"/>
        </w:rPr>
      </w:r>
    </w:p>
    <w:p>
      <w:pPr>
        <w:pStyle w:val="Normal"/>
        <w:rPr>
          <w:rFonts w:eastAsia="Bitstream Vera Sans;Times New Roman" w:cs="Lucidasans;Times New Roman"/>
          <w:sz w:val="22"/>
          <w:szCs w:val="22"/>
          <w:lang w:bidi="zxx"/>
        </w:rPr>
      </w:pPr>
      <w:r>
        <w:rPr>
          <w:rFonts w:cs="Lucidasans;Times New Roman"/>
          <w:sz w:val="22"/>
          <w:szCs w:val="22"/>
          <w:u w:val="single"/>
          <w:lang w:bidi="zxx"/>
        </w:rPr>
        <w:t>Laboratoire</w:t>
      </w:r>
      <w:r>
        <w:rPr>
          <w:rFonts w:cs="Lucidasans;Times New Roman"/>
          <w:sz w:val="22"/>
          <w:szCs w:val="22"/>
          <w:lang w:bidi="zxx"/>
        </w:rPr>
        <w:t> :</w:t>
      </w:r>
      <w:r>
        <w:rPr>
          <w:sz w:val="22"/>
          <w:szCs w:val="22"/>
        </w:rPr>
        <w:t xml:space="preserve"> Laboratoire de l'Atmosphère et des Cyclones (LACy, UMR 8105, CNRS/Université de La Réunion/Météo-France), Saint-Denis, La Réunion</w:t>
      </w:r>
    </w:p>
    <w:p>
      <w:pPr>
        <w:pStyle w:val="Normal"/>
        <w:tabs>
          <w:tab w:val="clear" w:pos="709"/>
          <w:tab w:val="left" w:pos="285" w:leader="none"/>
        </w:tabs>
        <w:jc w:val="both"/>
        <w:rPr>
          <w:rFonts w:eastAsia="Bitstream Vera Sans;Times New Roman" w:cs="Lucidasans;Times New Roman"/>
          <w:sz w:val="22"/>
          <w:szCs w:val="22"/>
          <w:lang w:bidi="zxx"/>
        </w:rPr>
      </w:pPr>
      <w:r>
        <w:rPr>
          <w:rFonts w:eastAsia="Bitstream Vera Sans;Times New Roman" w:cs="Lucidasans;Times New Roman"/>
          <w:sz w:val="22"/>
          <w:szCs w:val="22"/>
          <w:lang w:bidi="zxx"/>
        </w:rPr>
      </w:r>
    </w:p>
    <w:p>
      <w:pPr>
        <w:pStyle w:val="Normal"/>
        <w:rPr>
          <w:rFonts w:eastAsia="Bitstream Vera Sans;Times New Roman" w:cs="Lucidasans;Times New Roman"/>
          <w:sz w:val="22"/>
          <w:szCs w:val="22"/>
          <w:lang w:bidi="zxx"/>
        </w:rPr>
      </w:pPr>
      <w:r>
        <w:rPr>
          <w:rFonts w:cs="Lucidasans;Times New Roman"/>
          <w:sz w:val="22"/>
          <w:szCs w:val="22"/>
          <w:u w:val="single"/>
          <w:lang w:bidi="zxx"/>
        </w:rPr>
        <w:t>Titre du stage</w:t>
      </w:r>
      <w:r>
        <w:rPr>
          <w:rFonts w:cs="Lucidasans;Times New Roman"/>
          <w:sz w:val="22"/>
          <w:szCs w:val="22"/>
          <w:lang w:bidi="zxx"/>
        </w:rPr>
        <w:t> :</w:t>
      </w:r>
      <w:r>
        <w:rPr>
          <w:b/>
          <w:sz w:val="22"/>
          <w:szCs w:val="22"/>
        </w:rPr>
        <w:t xml:space="preserve"> Évaluation des aérosols simulés par le modèle lagrangien EASLEE à l'aide des observations EarthCARE et des mesures de l'OPAR en 2024</w:t>
      </w:r>
    </w:p>
    <w:p>
      <w:pPr>
        <w:pStyle w:val="Normal"/>
        <w:tabs>
          <w:tab w:val="clear" w:pos="709"/>
          <w:tab w:val="left" w:pos="285" w:leader="none"/>
        </w:tabs>
        <w:jc w:val="both"/>
        <w:rPr>
          <w:rFonts w:eastAsia="Bitstream Vera Sans;Times New Roman" w:cs="Lucidasans;Times New Roman"/>
          <w:sz w:val="22"/>
          <w:szCs w:val="22"/>
          <w:lang w:bidi="zxx"/>
        </w:rPr>
      </w:pPr>
      <w:r>
        <w:rPr>
          <w:rFonts w:eastAsia="Bitstream Vera Sans;Times New Roman" w:cs="Lucidasans;Times New Roman"/>
          <w:sz w:val="22"/>
          <w:szCs w:val="22"/>
          <w:lang w:bidi="zxx"/>
        </w:rPr>
      </w:r>
    </w:p>
    <w:p>
      <w:pPr>
        <w:pStyle w:val="Normal"/>
        <w:rPr>
          <w:rFonts w:eastAsia="Bitstream Vera Sans;Times New Roman" w:cs="Lucidasans;Times New Roman"/>
          <w:sz w:val="22"/>
          <w:szCs w:val="22"/>
          <w:u w:val="single"/>
          <w:lang w:bidi="zxx"/>
        </w:rPr>
      </w:pPr>
      <w:r>
        <w:rPr>
          <w:rFonts w:cs="Lucidasans;Times New Roman"/>
          <w:sz w:val="22"/>
          <w:szCs w:val="22"/>
          <w:u w:val="single"/>
          <w:lang w:bidi="zxx"/>
        </w:rPr>
        <w:t>Nom et statut du (des) responsable (s) de stage</w:t>
      </w:r>
      <w:r>
        <w:rPr>
          <w:rFonts w:cs="Lucidasans;Times New Roman"/>
          <w:sz w:val="22"/>
          <w:szCs w:val="22"/>
          <w:lang w:bidi="zxx"/>
        </w:rPr>
        <w:t> :</w:t>
      </w:r>
      <w:r>
        <w:rPr>
          <w:sz w:val="22"/>
          <w:szCs w:val="22"/>
        </w:rPr>
        <w:t xml:space="preserve"> Jérôme Brioude, Maître de conférences HDR, Université de La Réunion, et Michael Sicard, Directeur de recherche CNRS</w:t>
      </w:r>
    </w:p>
    <w:p>
      <w:pPr>
        <w:pStyle w:val="Normal"/>
        <w:tabs>
          <w:tab w:val="clear" w:pos="709"/>
          <w:tab w:val="left" w:pos="285" w:leader="none"/>
        </w:tabs>
        <w:jc w:val="both"/>
        <w:rPr>
          <w:rFonts w:eastAsia="Bitstream Vera Sans;Times New Roman" w:cs="Lucidasans;Times New Roman"/>
          <w:sz w:val="22"/>
          <w:szCs w:val="22"/>
          <w:u w:val="single"/>
          <w:lang w:bidi="zxx"/>
        </w:rPr>
      </w:pPr>
      <w:r>
        <w:rPr>
          <w:rFonts w:eastAsia="Bitstream Vera Sans;Times New Roman" w:cs="Lucidasans;Times New Roman"/>
          <w:sz w:val="22"/>
          <w:szCs w:val="22"/>
          <w:u w:val="single"/>
          <w:lang w:bidi="zxx"/>
        </w:rPr>
      </w:r>
    </w:p>
    <w:p>
      <w:pPr>
        <w:pStyle w:val="Normal"/>
        <w:rPr>
          <w:rFonts w:eastAsia="Bitstream Vera Sans;Times New Roman"/>
          <w:sz w:val="22"/>
          <w:szCs w:val="22"/>
          <w:lang w:bidi="zxx"/>
        </w:rPr>
      </w:pPr>
      <w:r>
        <w:rPr>
          <w:rFonts w:eastAsia="Bitstream Vera Sans;Times New Roman"/>
          <w:sz w:val="22"/>
          <w:szCs w:val="22"/>
          <w:u w:val="single"/>
          <w:lang w:bidi="zxx"/>
        </w:rPr>
        <w:t>Coordonnées (téléphone et email) du (des) responsable (s) de stage</w:t>
      </w:r>
      <w:r>
        <w:rPr>
          <w:rFonts w:eastAsia="Bitstream Vera Sans;Times New Roman"/>
          <w:sz w:val="22"/>
          <w:szCs w:val="22"/>
          <w:lang w:bidi="zxx"/>
        </w:rPr>
        <w:t> :</w:t>
      </w:r>
      <w:r>
        <w:rPr>
          <w:sz w:val="22"/>
          <w:szCs w:val="22"/>
        </w:rPr>
        <w:t xml:space="preserve"> J. Brioude, +262 262 93 82 73, jerome.brioude@univ-reunion.fr. M. Sicard, +262 262 52 89 63, michael.sicard@univ-reunion.fr</w:t>
      </w:r>
    </w:p>
    <w:p>
      <w:pPr>
        <w:pStyle w:val="Normal"/>
        <w:tabs>
          <w:tab w:val="clear" w:pos="709"/>
          <w:tab w:val="left" w:pos="285" w:leader="none"/>
        </w:tabs>
        <w:jc w:val="both"/>
        <w:rPr>
          <w:rFonts w:eastAsia="Bitstream Vera Sans;Times New Roman"/>
          <w:sz w:val="22"/>
          <w:szCs w:val="22"/>
          <w:lang w:bidi="zxx"/>
        </w:rPr>
      </w:pPr>
      <w:r>
        <w:rPr>
          <w:rFonts w:eastAsia="Bitstream Vera Sans;Times New Roman"/>
          <w:sz w:val="22"/>
          <w:szCs w:val="22"/>
          <w:lang w:bidi="zxx"/>
        </w:rPr>
      </w:r>
    </w:p>
    <w:p>
      <w:pPr>
        <w:pStyle w:val="Normal"/>
        <w:snapToGrid w:val="false"/>
        <w:rPr>
          <w:rFonts w:eastAsia="Bitstream Vera Sans;Times New Roman"/>
          <w:sz w:val="22"/>
          <w:szCs w:val="22"/>
          <w:lang w:bidi="zxx"/>
        </w:rPr>
      </w:pPr>
      <w:r>
        <w:rPr>
          <w:rFonts w:eastAsia="Bitstream Vera Sans;Times New Roman"/>
          <w:sz w:val="22"/>
          <w:szCs w:val="22"/>
          <w:u w:val="single"/>
          <w:lang w:bidi="zxx"/>
        </w:rPr>
        <w:t>Sujet du stage</w:t>
      </w:r>
      <w:r>
        <w:rPr>
          <w:rFonts w:eastAsia="Bitstream Vera Sans;Times New Roman"/>
          <w:sz w:val="22"/>
          <w:szCs w:val="22"/>
          <w:lang w:bidi="zxx"/>
        </w:rPr>
        <w:t> :</w:t>
      </w:r>
      <w:r>
        <w:rPr>
          <w:sz w:val="22"/>
          <w:szCs w:val="22"/>
        </w:rPr>
        <w:t xml:space="preserve"> </w:t>
      </w:r>
    </w:p>
    <w:p>
      <w:pPr>
        <w:pStyle w:val="Normal"/>
        <w:spacing w:before="0" w:after="60"/>
        <w:jc w:val="both"/>
        <w:rPr/>
      </w:pPr>
      <w:r>
        <w:rPr>
          <w:sz w:val="21"/>
          <w:szCs w:val="21"/>
        </w:rPr>
        <w:t xml:space="preserve">Les aérosols restent l'une des principales sources d'incertitude du bilan radiatif terrestre. Dans le sud-ouest de l'océan Indien, trois familles dominent la charge en aérosols. Les sels marins sont émis en continu par l'océan, les panaches de feux de biomasse d'Afrique australe et de Madagascar atteignent La Réunion d'août à novembre, et les poussières </w:t>
      </w:r>
      <w:r>
        <w:rPr>
          <w:sz w:val="21"/>
          <w:szCs w:val="21"/>
        </w:rPr>
        <w:t>qui</w:t>
      </w:r>
      <w:r>
        <w:rPr>
          <w:sz w:val="21"/>
          <w:szCs w:val="21"/>
        </w:rPr>
        <w:t xml:space="preserve"> contribuent de façon plus épisodique. Leur représentation dans les modèles dépend fortement des paramétrisations d'émission et, pour les feux, de l'altitude d'injection des panaches.</w:t>
      </w:r>
    </w:p>
    <w:p>
      <w:pPr>
        <w:pStyle w:val="Normal"/>
        <w:spacing w:before="0" w:after="60"/>
        <w:jc w:val="both"/>
        <w:rPr/>
      </w:pPr>
      <w:r>
        <w:rPr>
          <w:sz w:val="21"/>
          <w:szCs w:val="21"/>
        </w:rPr>
        <w:t xml:space="preserve">EASLEE (Efficient AtmoSpheric Lagrangian Easy-to-usE model) est un modèle lagrangien de transport et de dispersion développé au LACy (https://gitlab.osureunion.fr/brioude/easlee). Écrit en Julia et accéléré sur </w:t>
      </w:r>
      <w:r>
        <w:rPr>
          <w:sz w:val="21"/>
          <w:szCs w:val="21"/>
        </w:rPr>
        <w:t xml:space="preserve">CPU et </w:t>
      </w:r>
      <w:r>
        <w:rPr>
          <w:sz w:val="21"/>
          <w:szCs w:val="21"/>
        </w:rPr>
        <w:t>GPU, il simule l'émission, le transport, le dépôt et la croissance hygroscopique des aérosols, et fournit des sorties directement comparables aux observations comme les profils d'extinction et l'épaisseur optique (AOD). Ses modules d'aérosols n'ont pas encore été évalués de façon systématique sur une année complète.</w:t>
      </w:r>
    </w:p>
    <w:p>
      <w:pPr>
        <w:pStyle w:val="Normal"/>
        <w:spacing w:before="0" w:after="60"/>
        <w:jc w:val="both"/>
        <w:rPr/>
      </w:pPr>
      <w:r>
        <w:rPr>
          <w:sz w:val="21"/>
          <w:szCs w:val="21"/>
        </w:rPr>
        <w:t xml:space="preserve">La mission EarthCARE (ESA/JAXA), lancée en mai 2024, embarque le lidar ATLID qui fournit des profils d'extinction et une classification des types d'aérosols à haute résolution verticale. Ces observations ont été triées et mises sur grille pour l'année 2024 </w:t>
      </w:r>
      <w:r>
        <w:rPr>
          <w:sz w:val="21"/>
          <w:szCs w:val="21"/>
        </w:rPr>
        <w:t>au LACy</w:t>
      </w:r>
      <w:r>
        <w:rPr>
          <w:sz w:val="21"/>
          <w:szCs w:val="21"/>
        </w:rPr>
        <w:t>, ce qui constitue un jeu de référence tridimensionnel à l'échelle du bassin.</w:t>
      </w:r>
    </w:p>
    <w:p>
      <w:pPr>
        <w:pStyle w:val="Normal"/>
        <w:spacing w:before="0" w:after="60"/>
        <w:jc w:val="both"/>
        <w:rPr/>
      </w:pPr>
      <w:r>
        <w:rPr>
          <w:sz w:val="21"/>
          <w:szCs w:val="21"/>
        </w:rPr>
        <w:t>L'objectif du stage est de réaliser une première évaluation des aérosols simulés par EASLEE sur l'année 2024. Le ou la stagiaire devra</w:t>
      </w:r>
    </w:p>
    <w:p>
      <w:pPr>
        <w:pStyle w:val="Normal"/>
        <w:spacing w:before="0" w:after="60"/>
        <w:ind w:hanging="240" w:left="360"/>
        <w:jc w:val="both"/>
        <w:rPr/>
      </w:pPr>
      <w:r>
        <w:rPr>
          <w:sz w:val="21"/>
          <w:szCs w:val="21"/>
        </w:rPr>
        <w:t>1. réaliser les simulations EASLEE de 2024 sur le sud-ouest de l'océan Indien pour les feux de biomasse, les poussières et les sels marins,</w:t>
      </w:r>
    </w:p>
    <w:p>
      <w:pPr>
        <w:pStyle w:val="Normal"/>
        <w:spacing w:before="0" w:after="60"/>
        <w:ind w:hanging="240" w:left="360"/>
        <w:jc w:val="both"/>
        <w:rPr/>
      </w:pPr>
      <w:r>
        <w:rPr>
          <w:sz w:val="21"/>
          <w:szCs w:val="21"/>
        </w:rPr>
        <w:t>2. comparer les profils d'extinction et les types d'aérosols simulés aux produits EarthCARE grillés, source par source, afin de tester le module d'injection des feux, les émissions de poussières et la paramétrisation des sels marins,</w:t>
      </w:r>
    </w:p>
    <w:p>
      <w:pPr>
        <w:pStyle w:val="Normal"/>
        <w:spacing w:before="0" w:after="60"/>
        <w:ind w:hanging="240" w:left="360"/>
        <w:jc w:val="both"/>
        <w:rPr/>
      </w:pPr>
      <w:r>
        <w:rPr>
          <w:sz w:val="21"/>
          <w:szCs w:val="21"/>
        </w:rPr>
        <w:t>3. confronter le modèle aux observations locales, en particulier les lidars aérosols du Maïdo et de Saint-Denis Moufia (MARLEY) ainsi que les mesures in situ d'aérosols de l'observatoire du Maïdo,</w:t>
      </w:r>
    </w:p>
    <w:p>
      <w:pPr>
        <w:pStyle w:val="Normal"/>
        <w:spacing w:before="0" w:after="60"/>
        <w:ind w:hanging="240" w:left="360"/>
        <w:jc w:val="both"/>
        <w:rPr/>
      </w:pPr>
      <w:r>
        <w:rPr>
          <w:sz w:val="21"/>
          <w:szCs w:val="21"/>
        </w:rPr>
        <w:t>4. établir un premier bilan des performances du modèle et identifier les paramétrisations à améliorer en priorité.</w:t>
      </w:r>
    </w:p>
    <w:p>
      <w:pPr>
        <w:pStyle w:val="Normal"/>
        <w:spacing w:before="0" w:after="60"/>
        <w:jc w:val="both"/>
        <w:rPr/>
      </w:pPr>
      <w:r>
        <w:rPr>
          <w:b/>
          <w:sz w:val="21"/>
          <w:szCs w:val="21"/>
        </w:rPr>
        <w:t xml:space="preserve">Compétences requises. </w:t>
      </w:r>
      <w:r>
        <w:rPr>
          <w:sz w:val="21"/>
          <w:szCs w:val="21"/>
        </w:rPr>
        <w:t>Physique de l'atmosphère, goût pour la modélisation numérique et l'analyse de données, bonne pratique de la programmation (Python, Julia ou Matlab). La connaissance de Julia est un plus.</w:t>
      </w:r>
    </w:p>
    <w:p>
      <w:pPr>
        <w:pStyle w:val="Normal"/>
        <w:spacing w:before="0" w:after="60"/>
        <w:jc w:val="both"/>
        <w:rPr/>
      </w:pPr>
      <w:r>
        <w:rPr>
          <w:b/>
          <w:sz w:val="21"/>
          <w:szCs w:val="21"/>
        </w:rPr>
        <w:t xml:space="preserve">Durée. </w:t>
      </w:r>
      <w:r>
        <w:rPr>
          <w:sz w:val="21"/>
          <w:szCs w:val="21"/>
        </w:rPr>
        <w:t>6 mois à partir de mi-février 2027. Le stage se déroule à La Réunion.</w:t>
      </w:r>
    </w:p>
    <w:p>
      <w:pPr>
        <w:pStyle w:val="Normal"/>
        <w:spacing w:before="0" w:after="60"/>
        <w:jc w:val="both"/>
        <w:rPr/>
      </w:pPr>
      <w:r>
        <w:rPr>
          <w:b/>
          <w:sz w:val="21"/>
          <w:szCs w:val="21"/>
        </w:rPr>
        <w:t xml:space="preserve">Références. </w:t>
      </w:r>
      <w:r>
        <w:rPr>
          <w:sz w:val="21"/>
          <w:szCs w:val="21"/>
        </w:rPr>
        <w:t>Baray et al. (2013), Maïdo observatory, a new high-altitude station facility at Reunion Island, Atmos. Meas. Tech., 6, 2865–2877. Wehr et al. (2023), The EarthCARE mission – science and system overview, Atmos. Meas. Tech., 16, 3581–3608.</w:t>
      </w:r>
    </w:p>
    <w:sectPr>
      <w:type w:val="nextPage"/>
      <w:pgSz w:w="11906" w:h="16838"/>
      <w:pgMar w:left="851" w:right="851" w:gutter="0" w:header="0" w:top="851" w:footer="0" w:bottom="85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ourier New">
    <w:charset w:val="01"/>
    <w:family w:val="roman"/>
    <w:pitch w:val="variable"/>
  </w:font>
  <w:font w:name="Wingdings">
    <w:charset w:val="02"/>
    <w:family w:val="roman"/>
    <w:pitch w:val="variable"/>
  </w:font>
  <w:font w:name="Liberation Sans">
    <w:altName w:val="Arial"/>
    <w:charset w:val="01"/>
    <w:family w:val="swiss"/>
    <w:pitch w:val="variable"/>
  </w:font>
  <w:font w:name="Liberation Sans">
    <w:altName w:val="Arial"/>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584" w:hanging="1584"/>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60"/>
  <w:displayBackgroundShape/>
  <w:defaultTabStop w:val="709"/>
  <w:autoHyphenation w:val="true"/>
  <w:hyphenationZone w:val="360"/>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fr-FR" w:eastAsia="zh-CN" w:bidi="ar-SA"/>
    </w:rPr>
  </w:style>
  <w:style w:type="paragraph" w:styleId="Heading1">
    <w:name w:val="heading 1"/>
    <w:basedOn w:val="Normal"/>
    <w:next w:val="Normal"/>
    <w:qFormat/>
    <w:pPr>
      <w:keepNext w:val="true"/>
      <w:numPr>
        <w:ilvl w:val="0"/>
        <w:numId w:val="1"/>
      </w:numPr>
      <w:jc w:val="center"/>
      <w:outlineLvl w:val="0"/>
    </w:pPr>
    <w:rPr>
      <w:b/>
      <w:bCs/>
      <w:i/>
      <w:iCs/>
    </w:rPr>
  </w:style>
  <w:style w:type="paragraph" w:styleId="Heading7">
    <w:name w:val="heading 7"/>
    <w:basedOn w:val="Normal"/>
    <w:next w:val="Normal"/>
    <w:qFormat/>
    <w:pPr>
      <w:numPr>
        <w:ilvl w:val="6"/>
        <w:numId w:val="1"/>
      </w:numPr>
      <w:spacing w:before="240" w:after="60"/>
      <w:outlineLvl w:val="6"/>
    </w:pPr>
    <w:rPr/>
  </w:style>
  <w:style w:type="paragraph" w:styleId="Heading8">
    <w:name w:val="heading 8"/>
    <w:basedOn w:val="Normal"/>
    <w:next w:val="Normal"/>
    <w:qFormat/>
    <w:pPr>
      <w:numPr>
        <w:ilvl w:val="7"/>
        <w:numId w:val="1"/>
      </w:numPr>
      <w:spacing w:before="240" w:after="60"/>
      <w:outlineLvl w:val="7"/>
    </w:pPr>
    <w:rPr>
      <w:i/>
      <w:iCs/>
    </w:rPr>
  </w:style>
  <w:style w:type="character" w:styleId="WW8Num2z0">
    <w:name w:val="WW8Num2z0"/>
    <w:qFormat/>
    <w:rPr>
      <w:rFonts w:ascii="Times New Roman" w:hAnsi="Times New Roman" w:cs="Times New Roman"/>
      <w:lang w:val="en-US" w:eastAsia="en-US"/>
    </w:rPr>
  </w:style>
  <w:style w:type="character" w:styleId="Policepardfaut">
    <w:name w:val="Police par défaut"/>
    <w:qFormat/>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Times New Roman" w:hAnsi="Times New Roman" w:eastAsia="Times New Roman" w:cs="Times New Roman"/>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Symbol" w:hAnsi="Symbol"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Times New Roman" w:hAnsi="Times New Roman" w:eastAsia="Times New Roman" w:cs="Times New Roman"/>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Policepardfaut1">
    <w:name w:val="Police par défaut1"/>
    <w:qFormat/>
    <w:rPr/>
  </w:style>
  <w:style w:type="character" w:styleId="Hyperlink">
    <w:name w:val="Hyperlink"/>
    <w:rPr>
      <w:color w:val="0000FF"/>
      <w:u w:val="single"/>
    </w:rPr>
  </w:style>
  <w:style w:type="character" w:styleId="Marquedecommentaire">
    <w:name w:val="Marque de commentaire"/>
    <w:qFormat/>
    <w:rPr>
      <w:sz w:val="16"/>
      <w:szCs w:val="16"/>
    </w:rPr>
  </w:style>
  <w:style w:type="character" w:styleId="CommentaireCar">
    <w:name w:val="Commentaire Car"/>
    <w:qFormat/>
    <w:rPr>
      <w:lang w:eastAsia="zh-CN"/>
    </w:rPr>
  </w:style>
  <w:style w:type="character" w:styleId="ObjetducommentaireCar">
    <w:name w:val="Objet du commentaire Car"/>
    <w:qFormat/>
    <w:rPr>
      <w:b/>
      <w:bCs/>
      <w:lang w:eastAsia="zh-CN"/>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roid Sans Devanagari"/>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Droid Sans Devanagari"/>
    </w:rPr>
  </w:style>
  <w:style w:type="paragraph" w:styleId="Titre1">
    <w:name w:val="Titre1"/>
    <w:basedOn w:val="Normal"/>
    <w:next w:val="BodyText"/>
    <w:qFormat/>
    <w:pPr>
      <w:keepNext w:val="true"/>
      <w:spacing w:before="240" w:after="120"/>
    </w:pPr>
    <w:rPr>
      <w:rFonts w:ascii="Liberation Sans;Arial" w:hAnsi="Liberation Sans;Arial" w:eastAsia="Droid Sans Fallback" w:cs="Droid Sans Devanagari"/>
      <w:sz w:val="28"/>
      <w:szCs w:val="28"/>
    </w:rPr>
  </w:style>
  <w:style w:type="paragraph" w:styleId="Lgende">
    <w:name w:val="Légende"/>
    <w:basedOn w:val="Normal"/>
    <w:qFormat/>
    <w:pPr>
      <w:suppressLineNumbers/>
      <w:spacing w:before="120" w:after="120"/>
    </w:pPr>
    <w:rPr>
      <w:rFonts w:cs="Droid Sans Devanagari"/>
      <w:i/>
      <w:iCs/>
      <w:sz w:val="24"/>
      <w:szCs w:val="24"/>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536" w:leader="none"/>
        <w:tab w:val="right" w:pos="9072" w:leader="none"/>
      </w:tabs>
    </w:pPr>
    <w:rPr>
      <w:sz w:val="20"/>
      <w:szCs w:val="20"/>
    </w:rPr>
  </w:style>
  <w:style w:type="paragraph" w:styleId="Footer">
    <w:name w:val="footer"/>
    <w:basedOn w:val="Normal"/>
    <w:pPr>
      <w:tabs>
        <w:tab w:val="clear" w:pos="709"/>
        <w:tab w:val="center" w:pos="4536" w:leader="none"/>
        <w:tab w:val="right" w:pos="9072" w:leader="none"/>
      </w:tabs>
    </w:pPr>
    <w:rPr>
      <w:sz w:val="20"/>
      <w:szCs w:val="20"/>
    </w:rPr>
  </w:style>
  <w:style w:type="paragraph" w:styleId="titre">
    <w:name w:val="titre"/>
    <w:basedOn w:val="Normal"/>
    <w:qFormat/>
    <w:pPr/>
    <w:rPr/>
  </w:style>
  <w:style w:type="paragraph" w:styleId="PrformatHTML">
    <w:name w:val="Préformaté HTML"/>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color w:val="000000"/>
      <w:sz w:val="20"/>
      <w:szCs w:val="20"/>
    </w:rPr>
  </w:style>
  <w:style w:type="paragraph" w:styleId="Contenudetableau">
    <w:name w:val="Contenu de tableau"/>
    <w:basedOn w:val="Normal"/>
    <w:qFormat/>
    <w:pPr>
      <w:suppressLineNumbers/>
    </w:pPr>
    <w:rPr/>
  </w:style>
  <w:style w:type="paragraph" w:styleId="Titredetableau">
    <w:name w:val="Titre de tableau"/>
    <w:basedOn w:val="Contenudetableau"/>
    <w:qFormat/>
    <w:pPr>
      <w:suppressLineNumbers/>
      <w:jc w:val="center"/>
    </w:pPr>
    <w:rPr>
      <w:b/>
      <w:bCs/>
    </w:rPr>
  </w:style>
  <w:style w:type="paragraph" w:styleId="Commentaire">
    <w:name w:val="Commentaire"/>
    <w:basedOn w:val="Normal"/>
    <w:qFormat/>
    <w:pPr/>
    <w:rPr>
      <w:sz w:val="20"/>
      <w:szCs w:val="20"/>
    </w:rPr>
  </w:style>
  <w:style w:type="paragraph" w:styleId="Objetducommentaire">
    <w:name w:val="Objet du commentaire"/>
    <w:basedOn w:val="Commentaire"/>
    <w:next w:val="Commentaire"/>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16</TotalTime>
  <Application>LibreOffice/26.2.5.2$Linux_X86_64 LibreOffice_project/620$Build-2</Application>
  <AppVersion>15.0000</AppVersion>
  <Pages>1</Pages>
  <Words>526</Words>
  <Characters>2976</Characters>
  <CharactersWithSpaces>3485</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2025-06-16T15:54:00Z</dcterms:created>
  <dc:creator>COQUILLAT Sylvain</dc:creator>
  <dc:description/>
  <dc:language>en-US</dc:language>
  <cp:lastModifiedBy/>
  <cp:lastPrinted>2009-09-08T14:33:00Z</cp:lastPrinted>
  <dcterms:modified xsi:type="dcterms:W3CDTF">2026-09-29T21:33:47Z</dcterms:modified>
  <cp:revision>5</cp:revision>
  <dc:subject/>
  <dc:title>Master Sciences De l'Univers</dc:title>
</cp:coreProperties>
</file>

<file path=docProps/custom.xml><?xml version="1.0" encoding="utf-8"?>
<Properties xmlns="http://schemas.openxmlformats.org/officeDocument/2006/custom-properties" xmlns:vt="http://schemas.openxmlformats.org/officeDocument/2006/docPropsVTypes"/>
</file>