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485" w:rsidRPr="009C5661" w:rsidRDefault="00657485" w:rsidP="00657485">
      <w:pPr>
        <w:spacing w:after="60"/>
        <w:rPr>
          <w:sz w:val="28"/>
          <w:szCs w:val="28"/>
        </w:rPr>
      </w:pPr>
      <w:r>
        <w:rPr>
          <w:noProof/>
          <w:sz w:val="28"/>
          <w:szCs w:val="28"/>
          <w:lang w:val="fr-FR" w:eastAsia="fr-FR"/>
        </w:rPr>
        <w:drawing>
          <wp:inline distT="0" distB="0" distL="0" distR="0">
            <wp:extent cx="1057275" cy="628650"/>
            <wp:effectExtent l="0" t="0" r="0" b="0"/>
            <wp:docPr id="1" name="Image 1" descr="LOGO-LA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LAC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65B4B">
        <w:rPr>
          <w:rFonts w:ascii="Calibri" w:hAnsi="Calibri" w:cs="Calibri"/>
          <w:b/>
          <w:sz w:val="28"/>
          <w:szCs w:val="28"/>
        </w:rPr>
        <w:t>Stage de recherche au LACy</w:t>
      </w:r>
    </w:p>
    <w:p w:rsidR="00657485" w:rsidRPr="00A65B4B" w:rsidRDefault="00657485" w:rsidP="00657485">
      <w:pPr>
        <w:spacing w:after="60"/>
        <w:jc w:val="center"/>
        <w:rPr>
          <w:rFonts w:ascii="Calibri" w:hAnsi="Calibri" w:cs="Calibri"/>
          <w:sz w:val="28"/>
        </w:rPr>
      </w:pPr>
      <w:r w:rsidRPr="00A65B4B">
        <w:rPr>
          <w:rFonts w:ascii="Calibri" w:hAnsi="Calibri" w:cs="Calibri"/>
          <w:sz w:val="28"/>
        </w:rPr>
        <w:t xml:space="preserve">Laboratoire de l’Atmosphère et des Cyclones </w:t>
      </w:r>
    </w:p>
    <w:p w:rsidR="00657485" w:rsidRPr="00A65B4B" w:rsidRDefault="00657485" w:rsidP="00657485">
      <w:pPr>
        <w:tabs>
          <w:tab w:val="left" w:pos="285"/>
        </w:tabs>
        <w:spacing w:after="60"/>
        <w:jc w:val="center"/>
        <w:rPr>
          <w:rFonts w:ascii="Calibri" w:eastAsia="Bitstream Vera Sans" w:hAnsi="Calibri" w:cs="Calibri"/>
          <w:sz w:val="20"/>
          <w:szCs w:val="22"/>
        </w:rPr>
      </w:pPr>
      <w:r w:rsidRPr="00A65B4B">
        <w:rPr>
          <w:rFonts w:ascii="Calibri" w:hAnsi="Calibri" w:cs="Calibri"/>
        </w:rPr>
        <w:t>UMR8105 - Université de La Réunion, 97490 Saint-Denis de La Réunion</w:t>
      </w:r>
    </w:p>
    <w:p w:rsidR="00657485" w:rsidRPr="00A65B4B" w:rsidRDefault="00657485" w:rsidP="00657485">
      <w:pPr>
        <w:tabs>
          <w:tab w:val="left" w:pos="285"/>
        </w:tabs>
        <w:spacing w:after="60"/>
        <w:jc w:val="both"/>
        <w:rPr>
          <w:rFonts w:ascii="Calibri" w:eastAsia="Bitstream Vera Sans" w:hAnsi="Calibri" w:cs="Calibri"/>
          <w:sz w:val="22"/>
          <w:szCs w:val="22"/>
        </w:rPr>
      </w:pPr>
    </w:p>
    <w:p w:rsidR="00657485" w:rsidRPr="005E31E1" w:rsidRDefault="00657485" w:rsidP="00657485">
      <w:pPr>
        <w:spacing w:after="120"/>
        <w:rPr>
          <w:rFonts w:cstheme="minorHAnsi"/>
          <w:b/>
          <w:szCs w:val="22"/>
        </w:rPr>
      </w:pPr>
      <w:r w:rsidRPr="005E31E1">
        <w:rPr>
          <w:rFonts w:cstheme="minorHAnsi"/>
          <w:b/>
          <w:szCs w:val="22"/>
          <w:u w:val="single"/>
        </w:rPr>
        <w:t>Titre du stage</w:t>
      </w:r>
      <w:r w:rsidRPr="005E31E1">
        <w:rPr>
          <w:rFonts w:cstheme="minorHAnsi"/>
          <w:b/>
          <w:szCs w:val="22"/>
        </w:rPr>
        <w:t xml:space="preserve"> : </w:t>
      </w:r>
    </w:p>
    <w:p w:rsidR="00A8289E" w:rsidRPr="00A8289E" w:rsidRDefault="00A8289E" w:rsidP="00A8289E">
      <w:pPr>
        <w:spacing w:after="120"/>
        <w:rPr>
          <w:lang w:val="fr-FR"/>
        </w:rPr>
      </w:pPr>
      <w:r w:rsidRPr="00A8289E">
        <w:rPr>
          <w:lang w:val="fr-FR"/>
        </w:rPr>
        <w:t>Variabilité multiéchelles et sources des ondes de gravité à La Réunion : observations lidar et réanalyse ERA5</w:t>
      </w:r>
      <w:r w:rsidRPr="00A8289E">
        <w:rPr>
          <w:b/>
          <w:bCs/>
          <w:i/>
          <w:iCs/>
          <w:lang w:val="fr-FR"/>
        </w:rPr>
        <w:t xml:space="preserve"> </w:t>
      </w:r>
    </w:p>
    <w:p w:rsidR="00657485" w:rsidRPr="005E31E1" w:rsidRDefault="00657485" w:rsidP="00657485">
      <w:pPr>
        <w:spacing w:after="120"/>
        <w:rPr>
          <w:rFonts w:cstheme="minorHAnsi"/>
          <w:b/>
          <w:szCs w:val="22"/>
        </w:rPr>
      </w:pPr>
      <w:r w:rsidRPr="005E31E1">
        <w:rPr>
          <w:rFonts w:cstheme="minorHAnsi"/>
          <w:b/>
          <w:szCs w:val="22"/>
          <w:u w:val="single"/>
        </w:rPr>
        <w:t>Nom et statut du(des) responsable(s) de stage</w:t>
      </w:r>
      <w:r w:rsidRPr="005E31E1">
        <w:rPr>
          <w:rFonts w:cstheme="minorHAnsi"/>
          <w:b/>
          <w:szCs w:val="22"/>
        </w:rPr>
        <w:t> :</w:t>
      </w:r>
    </w:p>
    <w:p w:rsidR="00657485" w:rsidRDefault="00657485" w:rsidP="00657485">
      <w:pPr>
        <w:spacing w:after="120" w:line="240" w:lineRule="auto"/>
      </w:pPr>
      <w:r>
        <w:t>Fabrice Chane Ming, Maître de Conférences HDR (LACy, La Réunion)</w:t>
      </w:r>
    </w:p>
    <w:p w:rsidR="00657485" w:rsidRPr="00657485" w:rsidRDefault="00657485" w:rsidP="00657485">
      <w:pPr>
        <w:spacing w:after="120" w:line="240" w:lineRule="auto"/>
      </w:pPr>
      <w:r>
        <w:t xml:space="preserve">Samuel Trémoulu, </w:t>
      </w:r>
      <w:r w:rsidR="00A8289E">
        <w:t xml:space="preserve">Dr </w:t>
      </w:r>
      <w:r>
        <w:t>ATER (LACy, La Réunion)</w:t>
      </w:r>
    </w:p>
    <w:p w:rsidR="00657485" w:rsidRPr="005E31E1" w:rsidRDefault="00657485" w:rsidP="00657485">
      <w:pPr>
        <w:spacing w:after="120"/>
        <w:rPr>
          <w:rFonts w:eastAsia="Bitstream Vera Sans" w:cstheme="minorHAnsi"/>
          <w:b/>
          <w:szCs w:val="22"/>
        </w:rPr>
      </w:pPr>
      <w:r w:rsidRPr="005E31E1">
        <w:rPr>
          <w:rFonts w:eastAsia="Bitstream Vera Sans" w:cstheme="minorHAnsi"/>
          <w:b/>
          <w:szCs w:val="22"/>
          <w:u w:val="single"/>
        </w:rPr>
        <w:t>Coordonnées (téléphone et email) du (des) responsable (s) de stage</w:t>
      </w:r>
      <w:r w:rsidRPr="005E31E1">
        <w:rPr>
          <w:rFonts w:eastAsia="Bitstream Vera Sans" w:cstheme="minorHAnsi"/>
          <w:b/>
          <w:szCs w:val="22"/>
        </w:rPr>
        <w:t> :</w:t>
      </w:r>
    </w:p>
    <w:p w:rsidR="00657485" w:rsidRDefault="00657485" w:rsidP="00657485">
      <w:pPr>
        <w:spacing w:after="120" w:line="240" w:lineRule="auto"/>
      </w:pPr>
      <w:r>
        <w:t xml:space="preserve">Fabrice Chane Ming, </w:t>
      </w:r>
      <w:hyperlink r:id="rId6" w:history="1">
        <w:r w:rsidRPr="0049405F">
          <w:rPr>
            <w:rStyle w:val="Lienhypertexte"/>
          </w:rPr>
          <w:t>fchane@univ-reunion.fr</w:t>
        </w:r>
      </w:hyperlink>
      <w:r>
        <w:t xml:space="preserve"> – 0262938239</w:t>
      </w:r>
    </w:p>
    <w:p w:rsidR="00657485" w:rsidRPr="00657485" w:rsidRDefault="00657485" w:rsidP="00657485">
      <w:pPr>
        <w:spacing w:after="120" w:line="240" w:lineRule="auto"/>
      </w:pPr>
      <w:r>
        <w:t xml:space="preserve">Samuel Trémoulu, </w:t>
      </w:r>
      <w:hyperlink r:id="rId7" w:history="1">
        <w:r w:rsidRPr="0049405F">
          <w:rPr>
            <w:rStyle w:val="Lienhypertexte"/>
          </w:rPr>
          <w:t>samuel.tremoulu@univ-reunion.fr</w:t>
        </w:r>
      </w:hyperlink>
      <w:r>
        <w:t xml:space="preserve"> – 0692585421</w:t>
      </w:r>
    </w:p>
    <w:p w:rsidR="00657485" w:rsidRPr="005E31E1" w:rsidRDefault="00657485" w:rsidP="00657485">
      <w:pPr>
        <w:snapToGrid w:val="0"/>
        <w:spacing w:after="0"/>
        <w:rPr>
          <w:rFonts w:cstheme="minorHAnsi"/>
          <w:b/>
          <w:szCs w:val="22"/>
        </w:rPr>
      </w:pPr>
      <w:r w:rsidRPr="005E31E1">
        <w:rPr>
          <w:rFonts w:eastAsia="Bitstream Vera Sans" w:cstheme="minorHAnsi"/>
          <w:b/>
          <w:szCs w:val="22"/>
          <w:u w:val="single"/>
        </w:rPr>
        <w:t>Description du stage</w:t>
      </w:r>
      <w:r w:rsidRPr="005E31E1">
        <w:rPr>
          <w:rFonts w:eastAsia="Bitstream Vera Sans" w:cstheme="minorHAnsi"/>
          <w:b/>
          <w:szCs w:val="22"/>
        </w:rPr>
        <w:t> :</w:t>
      </w:r>
    </w:p>
    <w:p w:rsidR="00657485" w:rsidRPr="00657485" w:rsidRDefault="00657485" w:rsidP="00657485">
      <w:pPr>
        <w:pStyle w:val="NormalWeb"/>
        <w:spacing w:beforeAutospacing="0" w:after="120" w:afterAutospacing="0"/>
        <w:jc w:val="both"/>
        <w:rPr>
          <w:rFonts w:asciiTheme="minorHAnsi" w:hAnsiTheme="minorHAnsi" w:cstheme="minorHAnsi"/>
          <w:b/>
          <w:bCs/>
          <w:i/>
          <w:szCs w:val="22"/>
        </w:rPr>
      </w:pPr>
      <w:r w:rsidRPr="00657485">
        <w:rPr>
          <w:rFonts w:asciiTheme="minorHAnsi" w:hAnsiTheme="minorHAnsi" w:cstheme="minorHAnsi"/>
          <w:b/>
          <w:bCs/>
          <w:i/>
          <w:szCs w:val="22"/>
        </w:rPr>
        <w:t xml:space="preserve">Contexte </w:t>
      </w:r>
    </w:p>
    <w:p w:rsidR="00A8289E" w:rsidRPr="00A8289E" w:rsidRDefault="00A8289E" w:rsidP="00A8289E">
      <w:pPr>
        <w:pStyle w:val="NormalWeb"/>
        <w:spacing w:beforeAutospacing="0" w:afterAutospacing="0"/>
        <w:jc w:val="both"/>
        <w:rPr>
          <w:rFonts w:asciiTheme="minorHAnsi" w:hAnsiTheme="minorHAnsi" w:cstheme="minorHAnsi"/>
          <w:bCs/>
          <w:szCs w:val="22"/>
        </w:rPr>
      </w:pPr>
      <w:r w:rsidRPr="00A8289E">
        <w:rPr>
          <w:rFonts w:asciiTheme="minorHAnsi" w:hAnsiTheme="minorHAnsi" w:cstheme="minorHAnsi"/>
          <w:bCs/>
          <w:szCs w:val="22"/>
        </w:rPr>
        <w:t>La dynamique de la moyenne atmosphère, de la stratosphère à la mésosphère, est largement influencée par les ondes de gravité (OG). Générées dans la troposphère, elles se propagent verticalement et leur dissipation contribue à modifier la structure thermique et la circulation à grande échelle de cette région (Fritts &amp; Alexander, 2003). Leurs échelles spatiales et temporelles étant souvent inférieures à la résolution des modèles numériques</w:t>
      </w:r>
      <w:r>
        <w:rPr>
          <w:rFonts w:asciiTheme="minorHAnsi" w:hAnsiTheme="minorHAnsi" w:cstheme="minorHAnsi"/>
          <w:bCs/>
          <w:szCs w:val="22"/>
        </w:rPr>
        <w:t xml:space="preserve">. Encore mal résolues par les modèles, </w:t>
      </w:r>
      <w:r w:rsidRPr="00A8289E">
        <w:rPr>
          <w:rFonts w:asciiTheme="minorHAnsi" w:hAnsiTheme="minorHAnsi" w:cstheme="minorHAnsi"/>
          <w:bCs/>
          <w:szCs w:val="22"/>
        </w:rPr>
        <w:t>leurs effets doivent être paramétrés</w:t>
      </w:r>
      <w:r>
        <w:rPr>
          <w:rFonts w:asciiTheme="minorHAnsi" w:hAnsiTheme="minorHAnsi" w:cstheme="minorHAnsi"/>
          <w:bCs/>
          <w:szCs w:val="22"/>
        </w:rPr>
        <w:t xml:space="preserve"> </w:t>
      </w:r>
      <w:r w:rsidRPr="00A8289E">
        <w:rPr>
          <w:rFonts w:asciiTheme="minorHAnsi" w:hAnsiTheme="minorHAnsi" w:cstheme="minorHAnsi"/>
          <w:bCs/>
          <w:szCs w:val="22"/>
        </w:rPr>
        <w:t>avec des conséquences sur la représentation des jets stratosphériques, de la QBO et des projections climatiques (Achatz et al., 2024).</w:t>
      </w:r>
    </w:p>
    <w:p w:rsidR="00A8289E" w:rsidRPr="00A8289E" w:rsidRDefault="00A8289E" w:rsidP="00A8289E">
      <w:pPr>
        <w:pStyle w:val="NormalWeb"/>
        <w:spacing w:beforeAutospacing="0" w:afterAutospacing="0"/>
        <w:jc w:val="both"/>
        <w:rPr>
          <w:rFonts w:asciiTheme="minorHAnsi" w:hAnsiTheme="minorHAnsi" w:cstheme="minorHAnsi"/>
          <w:bCs/>
          <w:szCs w:val="22"/>
        </w:rPr>
      </w:pPr>
      <w:r w:rsidRPr="00A8289E">
        <w:rPr>
          <w:rFonts w:asciiTheme="minorHAnsi" w:hAnsiTheme="minorHAnsi" w:cstheme="minorHAnsi"/>
          <w:bCs/>
          <w:szCs w:val="22"/>
        </w:rPr>
        <w:t>Le bassin sud-ouest de l’océan Indien, situé en bordure sud des tropiques, est soumis à différent</w:t>
      </w:r>
      <w:r>
        <w:rPr>
          <w:rFonts w:asciiTheme="minorHAnsi" w:hAnsiTheme="minorHAnsi" w:cstheme="minorHAnsi"/>
          <w:bCs/>
          <w:szCs w:val="22"/>
        </w:rPr>
        <w:t xml:space="preserve">es sources </w:t>
      </w:r>
      <w:r w:rsidRPr="00A8289E">
        <w:rPr>
          <w:rFonts w:asciiTheme="minorHAnsi" w:hAnsiTheme="minorHAnsi" w:cstheme="minorHAnsi"/>
          <w:bCs/>
          <w:szCs w:val="22"/>
        </w:rPr>
        <w:t>d</w:t>
      </w:r>
      <w:r>
        <w:rPr>
          <w:rFonts w:asciiTheme="minorHAnsi" w:hAnsiTheme="minorHAnsi" w:cstheme="minorHAnsi"/>
          <w:bCs/>
          <w:szCs w:val="22"/>
        </w:rPr>
        <w:t>’</w:t>
      </w:r>
      <w:r w:rsidRPr="00A8289E">
        <w:rPr>
          <w:rFonts w:asciiTheme="minorHAnsi" w:hAnsiTheme="minorHAnsi" w:cstheme="minorHAnsi"/>
          <w:bCs/>
          <w:szCs w:val="22"/>
        </w:rPr>
        <w:t>OG : convection profonde et activité cyclonique en été austral, et jet subtropical en hiver austral (</w:t>
      </w:r>
      <w:r w:rsidR="006A2F3A">
        <w:rPr>
          <w:rFonts w:asciiTheme="minorHAnsi" w:hAnsiTheme="minorHAnsi" w:cstheme="minorHAnsi"/>
          <w:bCs/>
          <w:szCs w:val="22"/>
        </w:rPr>
        <w:t>Chane Ming et al., 2023</w:t>
      </w:r>
      <w:r>
        <w:rPr>
          <w:rFonts w:asciiTheme="minorHAnsi" w:hAnsiTheme="minorHAnsi" w:cstheme="minorHAnsi"/>
          <w:bCs/>
          <w:szCs w:val="22"/>
        </w:rPr>
        <w:t> ; Trémoulu Thèse 2026</w:t>
      </w:r>
      <w:r w:rsidRPr="00A8289E">
        <w:rPr>
          <w:rFonts w:asciiTheme="minorHAnsi" w:hAnsiTheme="minorHAnsi" w:cstheme="minorHAnsi"/>
          <w:bCs/>
          <w:szCs w:val="22"/>
        </w:rPr>
        <w:t xml:space="preserve">). L’activité ondulatoire observée dans la moyenne atmosphère dépend toutefois de l’intensité et de la nature des sources, </w:t>
      </w:r>
      <w:r w:rsidR="0028373B">
        <w:rPr>
          <w:rFonts w:asciiTheme="minorHAnsi" w:hAnsiTheme="minorHAnsi" w:cstheme="minorHAnsi"/>
          <w:bCs/>
          <w:szCs w:val="22"/>
        </w:rPr>
        <w:t xml:space="preserve">ainsi que les </w:t>
      </w:r>
      <w:r w:rsidRPr="00A8289E">
        <w:rPr>
          <w:rFonts w:asciiTheme="minorHAnsi" w:hAnsiTheme="minorHAnsi" w:cstheme="minorHAnsi"/>
          <w:bCs/>
          <w:szCs w:val="22"/>
        </w:rPr>
        <w:t xml:space="preserve">conditions de propagation imposées par le </w:t>
      </w:r>
      <w:r w:rsidR="0028373B">
        <w:rPr>
          <w:rFonts w:asciiTheme="minorHAnsi" w:hAnsiTheme="minorHAnsi" w:cstheme="minorHAnsi"/>
          <w:bCs/>
          <w:szCs w:val="22"/>
        </w:rPr>
        <w:t xml:space="preserve">champ de </w:t>
      </w:r>
      <w:r w:rsidRPr="00A8289E">
        <w:rPr>
          <w:rFonts w:asciiTheme="minorHAnsi" w:hAnsiTheme="minorHAnsi" w:cstheme="minorHAnsi"/>
          <w:bCs/>
          <w:szCs w:val="22"/>
        </w:rPr>
        <w:t>vent</w:t>
      </w:r>
      <w:r w:rsidR="0028373B">
        <w:rPr>
          <w:rFonts w:asciiTheme="minorHAnsi" w:hAnsiTheme="minorHAnsi" w:cstheme="minorHAnsi"/>
          <w:bCs/>
          <w:szCs w:val="22"/>
        </w:rPr>
        <w:t xml:space="preserve"> moyen</w:t>
      </w:r>
      <w:r w:rsidRPr="00A8289E">
        <w:rPr>
          <w:rFonts w:asciiTheme="minorHAnsi" w:hAnsiTheme="minorHAnsi" w:cstheme="minorHAnsi"/>
          <w:bCs/>
          <w:szCs w:val="22"/>
        </w:rPr>
        <w:t>.</w:t>
      </w:r>
    </w:p>
    <w:p w:rsidR="00A8289E" w:rsidRPr="00A8289E" w:rsidRDefault="00A8289E" w:rsidP="00A8289E">
      <w:pPr>
        <w:pStyle w:val="NormalWeb"/>
        <w:spacing w:beforeAutospacing="0" w:afterAutospacing="0"/>
        <w:jc w:val="both"/>
        <w:rPr>
          <w:rFonts w:asciiTheme="minorHAnsi" w:hAnsiTheme="minorHAnsi" w:cstheme="minorHAnsi"/>
          <w:bCs/>
          <w:szCs w:val="22"/>
        </w:rPr>
      </w:pPr>
      <w:r w:rsidRPr="00A8289E">
        <w:rPr>
          <w:rFonts w:asciiTheme="minorHAnsi" w:hAnsiTheme="minorHAnsi" w:cstheme="minorHAnsi"/>
          <w:bCs/>
          <w:szCs w:val="22"/>
        </w:rPr>
        <w:t xml:space="preserve">Une première climatologie multi-échelle de l’énergie potentielle des </w:t>
      </w:r>
      <w:r w:rsidR="009E46DB">
        <w:rPr>
          <w:rFonts w:asciiTheme="minorHAnsi" w:hAnsiTheme="minorHAnsi" w:cstheme="minorHAnsi"/>
          <w:bCs/>
          <w:szCs w:val="22"/>
        </w:rPr>
        <w:t>OG</w:t>
      </w:r>
      <w:r w:rsidRPr="00A8289E">
        <w:rPr>
          <w:rFonts w:asciiTheme="minorHAnsi" w:hAnsiTheme="minorHAnsi" w:cstheme="minorHAnsi"/>
          <w:bCs/>
          <w:szCs w:val="22"/>
        </w:rPr>
        <w:t xml:space="preserve"> sur la période 2013–2023 a été établie à partir des profils de température du Lidar </w:t>
      </w:r>
      <w:r w:rsidR="009E46DB">
        <w:rPr>
          <w:rFonts w:asciiTheme="minorHAnsi" w:hAnsiTheme="minorHAnsi" w:cstheme="minorHAnsi"/>
          <w:bCs/>
          <w:szCs w:val="22"/>
        </w:rPr>
        <w:t>1200 de</w:t>
      </w:r>
      <w:r w:rsidRPr="00A8289E">
        <w:rPr>
          <w:rFonts w:asciiTheme="minorHAnsi" w:hAnsiTheme="minorHAnsi" w:cstheme="minorHAnsi"/>
          <w:bCs/>
          <w:szCs w:val="22"/>
        </w:rPr>
        <w:t xml:space="preserve"> l’Observatoire de physique de l’atmosphère de La Réunion</w:t>
      </w:r>
      <w:r w:rsidR="009E46DB">
        <w:rPr>
          <w:rFonts w:asciiTheme="minorHAnsi" w:hAnsiTheme="minorHAnsi" w:cstheme="minorHAnsi"/>
          <w:bCs/>
          <w:szCs w:val="22"/>
        </w:rPr>
        <w:t xml:space="preserve"> (OPAR</w:t>
      </w:r>
      <w:r w:rsidRPr="00A8289E">
        <w:rPr>
          <w:rFonts w:asciiTheme="minorHAnsi" w:hAnsiTheme="minorHAnsi" w:cstheme="minorHAnsi"/>
          <w:bCs/>
          <w:szCs w:val="22"/>
        </w:rPr>
        <w:t>). Une analyse multi-résolution par ondelettes discrètes</w:t>
      </w:r>
      <w:r w:rsidR="009E46DB">
        <w:rPr>
          <w:rFonts w:asciiTheme="minorHAnsi" w:hAnsiTheme="minorHAnsi" w:cstheme="minorHAnsi"/>
          <w:bCs/>
          <w:szCs w:val="22"/>
        </w:rPr>
        <w:t xml:space="preserve"> (</w:t>
      </w:r>
      <w:r w:rsidR="009E46DB" w:rsidRPr="00A8289E">
        <w:rPr>
          <w:rFonts w:asciiTheme="minorHAnsi" w:hAnsiTheme="minorHAnsi" w:cstheme="minorHAnsi"/>
          <w:bCs/>
          <w:szCs w:val="22"/>
        </w:rPr>
        <w:t>Trémoulu</w:t>
      </w:r>
      <w:r w:rsidR="009E46DB">
        <w:rPr>
          <w:rFonts w:asciiTheme="minorHAnsi" w:hAnsiTheme="minorHAnsi" w:cstheme="minorHAnsi"/>
          <w:bCs/>
          <w:szCs w:val="22"/>
        </w:rPr>
        <w:t xml:space="preserve"> et al.</w:t>
      </w:r>
      <w:r w:rsidR="009E46DB" w:rsidRPr="00A8289E">
        <w:rPr>
          <w:rFonts w:asciiTheme="minorHAnsi" w:hAnsiTheme="minorHAnsi" w:cstheme="minorHAnsi"/>
          <w:bCs/>
          <w:szCs w:val="22"/>
        </w:rPr>
        <w:t>, 2026</w:t>
      </w:r>
      <w:r w:rsidR="009E46DB">
        <w:rPr>
          <w:rFonts w:asciiTheme="minorHAnsi" w:hAnsiTheme="minorHAnsi" w:cstheme="minorHAnsi"/>
          <w:bCs/>
          <w:szCs w:val="22"/>
        </w:rPr>
        <w:t>),</w:t>
      </w:r>
      <w:r w:rsidRPr="00A8289E">
        <w:rPr>
          <w:rFonts w:asciiTheme="minorHAnsi" w:hAnsiTheme="minorHAnsi" w:cstheme="minorHAnsi"/>
          <w:bCs/>
          <w:szCs w:val="22"/>
        </w:rPr>
        <w:t xml:space="preserve"> associée à une analyse en composantes principales conjointe, met en évidence des modes de variabilité distincts selon la saison, dont l’origine dynamique reste à déterminer.</w:t>
      </w:r>
    </w:p>
    <w:p w:rsidR="00A8289E" w:rsidRPr="00A8289E" w:rsidRDefault="00A8289E" w:rsidP="00A8289E">
      <w:pPr>
        <w:pStyle w:val="NormalWeb"/>
        <w:spacing w:beforeAutospacing="0" w:afterAutospacing="0"/>
        <w:jc w:val="both"/>
        <w:rPr>
          <w:rFonts w:asciiTheme="minorHAnsi" w:hAnsiTheme="minorHAnsi" w:cstheme="minorHAnsi"/>
          <w:bCs/>
          <w:szCs w:val="22"/>
        </w:rPr>
      </w:pPr>
      <w:r w:rsidRPr="00A8289E">
        <w:rPr>
          <w:rFonts w:asciiTheme="minorHAnsi" w:hAnsiTheme="minorHAnsi" w:cstheme="minorHAnsi"/>
          <w:bCs/>
          <w:szCs w:val="22"/>
        </w:rPr>
        <w:t>L’interprétation de ces modes est actuellement limitée par deux facteurs principaux : le bruit instrumental, susceptible de biaiser positivement l’estimation de l’énergie potentielle aux hautes altitudes, et un échantillonnage plus limité en été austral.</w:t>
      </w:r>
    </w:p>
    <w:p w:rsidR="00A8289E" w:rsidRDefault="00A8289E" w:rsidP="00A8289E">
      <w:pPr>
        <w:pStyle w:val="NormalWeb"/>
        <w:spacing w:beforeAutospacing="0" w:after="120" w:afterAutospacing="0"/>
        <w:jc w:val="both"/>
        <w:rPr>
          <w:rFonts w:asciiTheme="minorHAnsi" w:hAnsiTheme="minorHAnsi" w:cstheme="minorHAnsi"/>
          <w:b/>
          <w:bCs/>
          <w:i/>
          <w:szCs w:val="22"/>
        </w:rPr>
      </w:pPr>
    </w:p>
    <w:p w:rsidR="003D08AE" w:rsidRDefault="003D08AE" w:rsidP="00A8289E">
      <w:pPr>
        <w:pStyle w:val="NormalWeb"/>
        <w:spacing w:beforeAutospacing="0" w:after="120" w:afterAutospacing="0"/>
        <w:jc w:val="both"/>
        <w:rPr>
          <w:rFonts w:asciiTheme="minorHAnsi" w:hAnsiTheme="minorHAnsi" w:cstheme="minorHAnsi"/>
          <w:b/>
          <w:bCs/>
          <w:i/>
          <w:szCs w:val="22"/>
        </w:rPr>
      </w:pPr>
    </w:p>
    <w:p w:rsidR="00657485" w:rsidRPr="00657485" w:rsidRDefault="00657485" w:rsidP="00A8289E">
      <w:pPr>
        <w:pStyle w:val="NormalWeb"/>
        <w:spacing w:beforeAutospacing="0" w:after="120" w:afterAutospacing="0"/>
        <w:jc w:val="both"/>
        <w:rPr>
          <w:rFonts w:asciiTheme="minorHAnsi" w:hAnsiTheme="minorHAnsi" w:cstheme="minorHAnsi"/>
          <w:b/>
          <w:bCs/>
          <w:i/>
          <w:szCs w:val="22"/>
        </w:rPr>
      </w:pPr>
      <w:r w:rsidRPr="00657485">
        <w:rPr>
          <w:rFonts w:asciiTheme="minorHAnsi" w:hAnsiTheme="minorHAnsi" w:cstheme="minorHAnsi"/>
          <w:b/>
          <w:bCs/>
          <w:i/>
          <w:szCs w:val="22"/>
        </w:rPr>
        <w:lastRenderedPageBreak/>
        <w:t xml:space="preserve">Objectifs </w:t>
      </w:r>
    </w:p>
    <w:p w:rsidR="003D08AE" w:rsidRDefault="003D08AE" w:rsidP="003D08AE">
      <w:pPr>
        <w:spacing w:after="120" w:line="240" w:lineRule="auto"/>
        <w:jc w:val="both"/>
      </w:pPr>
      <w:r>
        <w:t>L’objectif du stage est de caractériser la variabilité de l’activité des OG au-dessus de La Réunion et d’en rechercher les sources et les conditions de propagation.</w:t>
      </w:r>
    </w:p>
    <w:p w:rsidR="003D08AE" w:rsidRDefault="003D08AE" w:rsidP="003D08AE">
      <w:pPr>
        <w:spacing w:after="120" w:line="240" w:lineRule="auto"/>
        <w:jc w:val="both"/>
      </w:pPr>
      <w:r>
        <w:t>Le travail s’articulera autour de trois axes :</w:t>
      </w:r>
    </w:p>
    <w:p w:rsidR="003D08AE" w:rsidRDefault="003D08AE" w:rsidP="003D08AE">
      <w:pPr>
        <w:pStyle w:val="Paragraphedeliste"/>
        <w:numPr>
          <w:ilvl w:val="0"/>
          <w:numId w:val="11"/>
        </w:numPr>
        <w:spacing w:after="120" w:line="240" w:lineRule="auto"/>
        <w:jc w:val="both"/>
      </w:pPr>
      <w:r>
        <w:t>Améliorer l’estimation de l’énergie potentielle des OG en consolidant la correction du bruit instrumental ;</w:t>
      </w:r>
    </w:p>
    <w:p w:rsidR="003D08AE" w:rsidRDefault="003D08AE" w:rsidP="003D08AE">
      <w:pPr>
        <w:pStyle w:val="Paragraphedeliste"/>
        <w:numPr>
          <w:ilvl w:val="0"/>
          <w:numId w:val="11"/>
        </w:numPr>
        <w:spacing w:after="120" w:line="240" w:lineRule="auto"/>
        <w:jc w:val="both"/>
      </w:pPr>
      <w:r>
        <w:t>Identifier et caractériser les modes de variabilité multi-échelle, et évaluer leur robustesse vis-à-vis du traitement du bruit, du domaine vertical et de l’échantillonnage ;</w:t>
      </w:r>
    </w:p>
    <w:p w:rsidR="003D08AE" w:rsidRPr="00657485" w:rsidRDefault="003D08AE" w:rsidP="003D08AE">
      <w:pPr>
        <w:pStyle w:val="Paragraphedeliste"/>
        <w:numPr>
          <w:ilvl w:val="0"/>
          <w:numId w:val="11"/>
        </w:numPr>
        <w:spacing w:after="120" w:line="240" w:lineRule="auto"/>
        <w:jc w:val="both"/>
      </w:pPr>
      <w:r>
        <w:t>Interpréter ces modes en les confrontant aux sources troposphériques et aux conditions de propagation.</w:t>
      </w:r>
    </w:p>
    <w:p w:rsidR="00657485" w:rsidRPr="00657485" w:rsidRDefault="00657485" w:rsidP="00657485">
      <w:pPr>
        <w:pStyle w:val="NormalWeb"/>
        <w:spacing w:beforeAutospacing="0" w:after="120" w:afterAutospacing="0"/>
        <w:jc w:val="both"/>
        <w:rPr>
          <w:rFonts w:asciiTheme="minorHAnsi" w:hAnsiTheme="minorHAnsi" w:cstheme="minorHAnsi"/>
          <w:b/>
          <w:bCs/>
          <w:i/>
          <w:szCs w:val="22"/>
        </w:rPr>
      </w:pPr>
      <w:r w:rsidRPr="00657485">
        <w:rPr>
          <w:rFonts w:asciiTheme="minorHAnsi" w:hAnsiTheme="minorHAnsi" w:cstheme="minorHAnsi"/>
          <w:b/>
          <w:bCs/>
          <w:i/>
          <w:szCs w:val="22"/>
        </w:rPr>
        <w:t xml:space="preserve">Méthodologie/Outils  </w:t>
      </w:r>
      <w:r w:rsidRPr="00657485">
        <w:rPr>
          <w:rFonts w:asciiTheme="minorHAnsi" w:hAnsiTheme="minorHAnsi" w:cstheme="minorHAnsi"/>
          <w:b/>
          <w:bCs/>
          <w:i/>
          <w:szCs w:val="22"/>
        </w:rPr>
        <w:tab/>
      </w:r>
    </w:p>
    <w:p w:rsidR="003D08AE" w:rsidRPr="003D08AE" w:rsidRDefault="003D08AE" w:rsidP="003D08AE">
      <w:pPr>
        <w:pStyle w:val="NormalWeb"/>
        <w:spacing w:beforeAutospacing="0" w:afterAutospacing="0"/>
        <w:jc w:val="both"/>
        <w:rPr>
          <w:rFonts w:asciiTheme="minorHAnsi" w:eastAsiaTheme="minorHAnsi" w:hAnsiTheme="minorHAnsi" w:cstheme="minorBidi"/>
          <w:kern w:val="2"/>
          <w:lang w:val="fr-RE" w:eastAsia="en-US"/>
        </w:rPr>
      </w:pPr>
      <w:r w:rsidRPr="003D08AE">
        <w:rPr>
          <w:rFonts w:asciiTheme="minorHAnsi" w:eastAsiaTheme="minorHAnsi" w:hAnsiTheme="minorHAnsi" w:cstheme="minorBidi"/>
          <w:kern w:val="2"/>
          <w:lang w:val="fr-RE" w:eastAsia="en-US"/>
        </w:rPr>
        <w:t>Dans un premier temps, le traitement du bruit instrumental sera approfondi à partir des données de température du Lidar Rayleigh du Maïdo, en particulier par l’amélioration de la correction empirique existante (Trémoulu et al., 2026).</w:t>
      </w:r>
    </w:p>
    <w:p w:rsidR="003D08AE" w:rsidRPr="003D08AE" w:rsidRDefault="003D08AE" w:rsidP="003D08AE">
      <w:pPr>
        <w:pStyle w:val="NormalWeb"/>
        <w:spacing w:beforeAutospacing="0" w:afterAutospacing="0"/>
        <w:jc w:val="both"/>
        <w:rPr>
          <w:rFonts w:asciiTheme="minorHAnsi" w:eastAsiaTheme="minorHAnsi" w:hAnsiTheme="minorHAnsi" w:cstheme="minorBidi"/>
          <w:kern w:val="2"/>
          <w:lang w:val="fr-RE" w:eastAsia="en-US"/>
        </w:rPr>
      </w:pPr>
      <w:r w:rsidRPr="003D08AE">
        <w:rPr>
          <w:rFonts w:asciiTheme="minorHAnsi" w:eastAsiaTheme="minorHAnsi" w:hAnsiTheme="minorHAnsi" w:cstheme="minorBidi"/>
          <w:kern w:val="2"/>
          <w:lang w:val="fr-RE" w:eastAsia="en-US"/>
        </w:rPr>
        <w:t>Dans un second temps, une analyse en composantes principales (ACP) des profils d’énergie potentielle aux différentes échelles sera réalisée. Une attention particulière sera portée à la sensibilité des modes obtenus au traitement du bruit, au domaine vertical analysé et à l’échantillonnage temporel.</w:t>
      </w:r>
    </w:p>
    <w:p w:rsidR="003D08AE" w:rsidRDefault="003D08AE" w:rsidP="003D08AE">
      <w:pPr>
        <w:pStyle w:val="NormalWeb"/>
        <w:spacing w:beforeAutospacing="0" w:afterAutospacing="0"/>
        <w:jc w:val="both"/>
        <w:rPr>
          <w:rFonts w:asciiTheme="minorHAnsi" w:eastAsiaTheme="minorHAnsi" w:hAnsiTheme="minorHAnsi" w:cstheme="minorBidi"/>
          <w:kern w:val="2"/>
          <w:lang w:val="fr-RE" w:eastAsia="en-US"/>
        </w:rPr>
      </w:pPr>
      <w:r w:rsidRPr="003D08AE">
        <w:rPr>
          <w:rFonts w:asciiTheme="minorHAnsi" w:eastAsiaTheme="minorHAnsi" w:hAnsiTheme="minorHAnsi" w:cstheme="minorBidi"/>
          <w:kern w:val="2"/>
          <w:lang w:val="fr-RE" w:eastAsia="en-US"/>
        </w:rPr>
        <w:t>Enfin, les modes de variabilité identifiés seront confrontés à différents indicateurs des sources troposphériques :</w:t>
      </w:r>
      <w:r>
        <w:rPr>
          <w:rFonts w:asciiTheme="minorHAnsi" w:eastAsiaTheme="minorHAnsi" w:hAnsiTheme="minorHAnsi" w:cstheme="minorBidi"/>
          <w:kern w:val="2"/>
          <w:lang w:val="fr-RE" w:eastAsia="en-US"/>
        </w:rPr>
        <w:t xml:space="preserve"> l’</w:t>
      </w:r>
      <w:r w:rsidRPr="003D08AE">
        <w:rPr>
          <w:rFonts w:asciiTheme="minorHAnsi" w:eastAsiaTheme="minorHAnsi" w:hAnsiTheme="minorHAnsi" w:cstheme="minorBidi"/>
          <w:kern w:val="2"/>
          <w:lang w:val="fr-RE" w:eastAsia="en-US"/>
        </w:rPr>
        <w:t xml:space="preserve">OLR </w:t>
      </w:r>
      <w:r>
        <w:rPr>
          <w:rFonts w:asciiTheme="minorHAnsi" w:eastAsiaTheme="minorHAnsi" w:hAnsiTheme="minorHAnsi" w:cstheme="minorBidi"/>
          <w:kern w:val="2"/>
          <w:lang w:val="fr-RE" w:eastAsia="en-US"/>
        </w:rPr>
        <w:t xml:space="preserve">pour la </w:t>
      </w:r>
      <w:r w:rsidRPr="003D08AE">
        <w:rPr>
          <w:rFonts w:asciiTheme="minorHAnsi" w:eastAsiaTheme="minorHAnsi" w:hAnsiTheme="minorHAnsi" w:cstheme="minorBidi"/>
          <w:kern w:val="2"/>
          <w:lang w:val="fr-RE" w:eastAsia="en-US"/>
        </w:rPr>
        <w:t>convection profonde et</w:t>
      </w:r>
      <w:r>
        <w:rPr>
          <w:rFonts w:asciiTheme="minorHAnsi" w:eastAsiaTheme="minorHAnsi" w:hAnsiTheme="minorHAnsi" w:cstheme="minorBidi"/>
          <w:kern w:val="2"/>
          <w:lang w:val="fr-RE" w:eastAsia="en-US"/>
        </w:rPr>
        <w:t xml:space="preserve"> l’</w:t>
      </w:r>
      <w:r w:rsidRPr="003D08AE">
        <w:rPr>
          <w:rFonts w:asciiTheme="minorHAnsi" w:eastAsiaTheme="minorHAnsi" w:hAnsiTheme="minorHAnsi" w:cstheme="minorBidi"/>
          <w:kern w:val="2"/>
          <w:lang w:val="fr-RE" w:eastAsia="en-US"/>
        </w:rPr>
        <w:t>activité cyclonique</w:t>
      </w:r>
      <w:r>
        <w:rPr>
          <w:rFonts w:asciiTheme="minorHAnsi" w:eastAsiaTheme="minorHAnsi" w:hAnsiTheme="minorHAnsi" w:cstheme="minorBidi"/>
          <w:kern w:val="2"/>
          <w:lang w:val="fr-RE" w:eastAsia="en-US"/>
        </w:rPr>
        <w:t xml:space="preserve">, </w:t>
      </w:r>
      <w:r w:rsidRPr="003D08AE">
        <w:rPr>
          <w:rFonts w:asciiTheme="minorHAnsi" w:eastAsiaTheme="minorHAnsi" w:hAnsiTheme="minorHAnsi" w:cstheme="minorBidi"/>
          <w:kern w:val="2"/>
          <w:lang w:val="fr-RE" w:eastAsia="en-US"/>
        </w:rPr>
        <w:t>ERA5</w:t>
      </w:r>
      <w:r>
        <w:rPr>
          <w:rFonts w:asciiTheme="minorHAnsi" w:eastAsiaTheme="minorHAnsi" w:hAnsiTheme="minorHAnsi" w:cstheme="minorBidi"/>
          <w:kern w:val="2"/>
          <w:lang w:val="fr-RE" w:eastAsia="en-US"/>
        </w:rPr>
        <w:t xml:space="preserve"> pour le jet subtropical et vent de fond et la </w:t>
      </w:r>
      <w:r w:rsidRPr="003D08AE">
        <w:rPr>
          <w:rFonts w:asciiTheme="minorHAnsi" w:eastAsiaTheme="minorHAnsi" w:hAnsiTheme="minorHAnsi" w:cstheme="minorBidi"/>
          <w:kern w:val="2"/>
          <w:lang w:val="fr-RE" w:eastAsia="en-US"/>
        </w:rPr>
        <w:t xml:space="preserve">QBO </w:t>
      </w:r>
      <w:r>
        <w:rPr>
          <w:rFonts w:asciiTheme="minorHAnsi" w:eastAsiaTheme="minorHAnsi" w:hAnsiTheme="minorHAnsi" w:cstheme="minorBidi"/>
          <w:kern w:val="2"/>
          <w:lang w:val="fr-RE" w:eastAsia="en-US"/>
        </w:rPr>
        <w:t>pour l’</w:t>
      </w:r>
      <w:r w:rsidRPr="003D08AE">
        <w:rPr>
          <w:rFonts w:asciiTheme="minorHAnsi" w:eastAsiaTheme="minorHAnsi" w:hAnsiTheme="minorHAnsi" w:cstheme="minorBidi"/>
          <w:kern w:val="2"/>
          <w:lang w:val="fr-RE" w:eastAsia="en-US"/>
        </w:rPr>
        <w:t>influence de la variabilité de la circulation équatoriale.</w:t>
      </w:r>
      <w:r>
        <w:rPr>
          <w:rFonts w:asciiTheme="minorHAnsi" w:eastAsiaTheme="minorHAnsi" w:hAnsiTheme="minorHAnsi" w:cstheme="minorBidi"/>
          <w:kern w:val="2"/>
          <w:lang w:val="fr-RE" w:eastAsia="en-US"/>
        </w:rPr>
        <w:t xml:space="preserve"> </w:t>
      </w:r>
      <w:r w:rsidRPr="003D08AE">
        <w:rPr>
          <w:rFonts w:asciiTheme="minorHAnsi" w:eastAsiaTheme="minorHAnsi" w:hAnsiTheme="minorHAnsi" w:cstheme="minorBidi"/>
          <w:kern w:val="2"/>
          <w:lang w:val="fr-RE" w:eastAsia="en-US"/>
        </w:rPr>
        <w:t>Les relations entre l’activité ondulatoire, les sources et les conditions de propagation seront étudiées à l’aide d’outils statistiques permettant d’en évaluer la significativité et la robustesse</w:t>
      </w:r>
      <w:r>
        <w:rPr>
          <w:rFonts w:asciiTheme="minorHAnsi" w:eastAsiaTheme="minorHAnsi" w:hAnsiTheme="minorHAnsi" w:cstheme="minorBidi"/>
          <w:kern w:val="2"/>
          <w:lang w:val="fr-RE" w:eastAsia="en-US"/>
        </w:rPr>
        <w:t>.</w:t>
      </w:r>
    </w:p>
    <w:p w:rsidR="003D08AE" w:rsidRDefault="003D08AE" w:rsidP="003D08AE">
      <w:pPr>
        <w:pStyle w:val="NormalWeb"/>
        <w:spacing w:beforeAutospacing="0" w:afterAutospacing="0"/>
        <w:jc w:val="both"/>
        <w:rPr>
          <w:rFonts w:asciiTheme="minorHAnsi" w:eastAsiaTheme="minorHAnsi" w:hAnsiTheme="minorHAnsi" w:cstheme="minorBidi"/>
          <w:kern w:val="2"/>
          <w:lang w:val="fr-RE" w:eastAsia="en-US"/>
        </w:rPr>
      </w:pPr>
    </w:p>
    <w:p w:rsidR="00657485" w:rsidRPr="00657485" w:rsidRDefault="00657485" w:rsidP="003D08AE">
      <w:pPr>
        <w:pStyle w:val="NormalWeb"/>
        <w:spacing w:beforeAutospacing="0" w:afterAutospacing="0"/>
        <w:jc w:val="both"/>
        <w:rPr>
          <w:rFonts w:asciiTheme="minorHAnsi" w:hAnsiTheme="minorHAnsi" w:cstheme="minorHAnsi"/>
          <w:b/>
          <w:bCs/>
          <w:i/>
          <w:szCs w:val="22"/>
        </w:rPr>
      </w:pPr>
      <w:r w:rsidRPr="00657485">
        <w:rPr>
          <w:rFonts w:asciiTheme="minorHAnsi" w:hAnsiTheme="minorHAnsi" w:cstheme="minorHAnsi"/>
          <w:b/>
          <w:bCs/>
          <w:i/>
          <w:szCs w:val="22"/>
        </w:rPr>
        <w:t>Attendus</w:t>
      </w:r>
    </w:p>
    <w:p w:rsidR="00657485" w:rsidRPr="00657485" w:rsidRDefault="00657485" w:rsidP="00657485">
      <w:pPr>
        <w:pStyle w:val="NormalWeb"/>
        <w:tabs>
          <w:tab w:val="left" w:pos="284"/>
        </w:tabs>
        <w:spacing w:beforeAutospacing="0" w:after="120" w:afterAutospacing="0"/>
        <w:jc w:val="both"/>
        <w:rPr>
          <w:rFonts w:asciiTheme="minorHAnsi" w:hAnsiTheme="minorHAnsi"/>
        </w:rPr>
      </w:pPr>
      <w:r w:rsidRPr="004013A0">
        <w:rPr>
          <w:rFonts w:asciiTheme="minorHAnsi" w:hAnsiTheme="minorHAnsi"/>
        </w:rPr>
        <w:t>L’analyse de ces données sera effectuée à l’aide de scripts de programmation développés par l’étudiant</w:t>
      </w:r>
      <w:r>
        <w:rPr>
          <w:rFonts w:asciiTheme="minorHAnsi" w:hAnsiTheme="minorHAnsi"/>
        </w:rPr>
        <w:t xml:space="preserve"> (dont certains fournis par les encadrants)</w:t>
      </w:r>
      <w:r w:rsidRPr="004013A0">
        <w:rPr>
          <w:rFonts w:asciiTheme="minorHAnsi" w:hAnsiTheme="minorHAnsi"/>
        </w:rPr>
        <w:t>, nécessitant une bonne maîtrise du langage Python (ou MATLAB). L’étudiant sera</w:t>
      </w:r>
      <w:r>
        <w:rPr>
          <w:rFonts w:asciiTheme="minorHAnsi" w:hAnsiTheme="minorHAnsi"/>
        </w:rPr>
        <w:t xml:space="preserve">, </w:t>
      </w:r>
      <w:r w:rsidRPr="004013A0">
        <w:rPr>
          <w:rFonts w:asciiTheme="minorHAnsi" w:hAnsiTheme="minorHAnsi"/>
        </w:rPr>
        <w:t>entr</w:t>
      </w:r>
      <w:r>
        <w:rPr>
          <w:rFonts w:asciiTheme="minorHAnsi" w:hAnsiTheme="minorHAnsi"/>
        </w:rPr>
        <w:t xml:space="preserve">e </w:t>
      </w:r>
      <w:r w:rsidRPr="004013A0">
        <w:rPr>
          <w:rFonts w:asciiTheme="minorHAnsi" w:hAnsiTheme="minorHAnsi"/>
        </w:rPr>
        <w:t>autres</w:t>
      </w:r>
      <w:r>
        <w:rPr>
          <w:rFonts w:asciiTheme="minorHAnsi" w:hAnsiTheme="minorHAnsi"/>
        </w:rPr>
        <w:t>,</w:t>
      </w:r>
      <w:r w:rsidRPr="004013A0">
        <w:rPr>
          <w:rFonts w:asciiTheme="minorHAnsi" w:hAnsiTheme="minorHAnsi"/>
        </w:rPr>
        <w:t xml:space="preserve"> initié à l'analyse par ondelettes pour le traitement des signaux</w:t>
      </w:r>
      <w:r>
        <w:rPr>
          <w:rFonts w:asciiTheme="minorHAnsi" w:hAnsiTheme="minorHAnsi"/>
        </w:rPr>
        <w:t xml:space="preserve">, </w:t>
      </w:r>
      <w:r w:rsidRPr="004013A0">
        <w:rPr>
          <w:rFonts w:asciiTheme="minorHAnsi" w:hAnsiTheme="minorHAnsi"/>
        </w:rPr>
        <w:t>l’extraction des caractéristiques des OG</w:t>
      </w:r>
      <w:r>
        <w:rPr>
          <w:rFonts w:asciiTheme="minorHAnsi" w:hAnsiTheme="minorHAnsi"/>
        </w:rPr>
        <w:t xml:space="preserve"> mais également aux outils statistiques. </w:t>
      </w:r>
    </w:p>
    <w:p w:rsidR="00657485" w:rsidRPr="0032176B" w:rsidRDefault="00657485" w:rsidP="00657485">
      <w:pPr>
        <w:rPr>
          <w:b/>
          <w:bCs/>
        </w:rPr>
      </w:pPr>
      <w:r w:rsidRPr="0032176B">
        <w:rPr>
          <w:b/>
          <w:bCs/>
        </w:rPr>
        <w:t>Références</w:t>
      </w:r>
    </w:p>
    <w:p w:rsidR="00657485" w:rsidRDefault="003D08AE" w:rsidP="003D08AE">
      <w:pPr>
        <w:spacing w:after="120" w:line="240" w:lineRule="auto"/>
        <w:jc w:val="both"/>
      </w:pPr>
      <w:r>
        <w:t xml:space="preserve">- </w:t>
      </w:r>
      <w:r w:rsidR="00657485" w:rsidRPr="009507F7">
        <w:t xml:space="preserve">Achatz, U., et al. (2024). </w:t>
      </w:r>
      <w:r w:rsidR="00657485">
        <w:t>Atmospheric Gravity Waves : Processes and Parameterization. Journal of the Atmospheric Sciences, 81(2), 237-262.</w:t>
      </w:r>
    </w:p>
    <w:p w:rsidR="003D08AE" w:rsidRPr="003D08AE" w:rsidRDefault="003D08AE" w:rsidP="003D08AE">
      <w:pPr>
        <w:spacing w:before="40" w:after="0" w:line="240" w:lineRule="auto"/>
        <w:ind w:right="-108"/>
        <w:jc w:val="both"/>
        <w:outlineLvl w:val="2"/>
        <w:rPr>
          <w:bCs/>
          <w:u w:val="single"/>
          <w:lang w:val="en-GB"/>
        </w:rPr>
      </w:pPr>
      <w:r>
        <w:rPr>
          <w:lang w:val="en-US"/>
        </w:rPr>
        <w:t xml:space="preserve">- </w:t>
      </w:r>
      <w:r w:rsidRPr="003D08AE">
        <w:rPr>
          <w:lang w:val="en-US"/>
        </w:rPr>
        <w:t>Chane Ming F. et al.</w:t>
      </w:r>
      <w:r w:rsidR="006A2F3A">
        <w:rPr>
          <w:lang w:val="en-US"/>
        </w:rPr>
        <w:t xml:space="preserve"> (2023)</w:t>
      </w:r>
      <w:r w:rsidRPr="003D08AE">
        <w:rPr>
          <w:lang w:val="en-US"/>
        </w:rPr>
        <w:t>, Cas</w:t>
      </w:r>
      <w:r w:rsidRPr="003D08AE">
        <w:t>e</w:t>
      </w:r>
      <w:r w:rsidRPr="002E7156">
        <w:t xml:space="preserve"> Study of a Mesospheric Temperature Inversion over Maïdo Observatory through a Multi-Instrumental Observation, </w:t>
      </w:r>
      <w:r w:rsidRPr="003D08AE">
        <w:rPr>
          <w:rStyle w:val="Accentuation"/>
          <w:i w:val="0"/>
        </w:rPr>
        <w:t>Remote Sensing,</w:t>
      </w:r>
      <w:r w:rsidRPr="00A12A13">
        <w:rPr>
          <w:rStyle w:val="Accentuation"/>
        </w:rPr>
        <w:t xml:space="preserve"> </w:t>
      </w:r>
      <w:r w:rsidRPr="00A12A13">
        <w:t>15(8),</w:t>
      </w:r>
      <w:r w:rsidRPr="002E7156">
        <w:t xml:space="preserve"> 2045</w:t>
      </w:r>
      <w:r w:rsidR="006A2F3A">
        <w:t>.</w:t>
      </w:r>
      <w:r w:rsidRPr="002E7156">
        <w:t xml:space="preserve"> </w:t>
      </w:r>
    </w:p>
    <w:p w:rsidR="00657485" w:rsidRPr="00CC6DF8" w:rsidRDefault="003D08AE" w:rsidP="003D08AE">
      <w:pPr>
        <w:spacing w:after="120" w:line="240" w:lineRule="auto"/>
        <w:jc w:val="both"/>
      </w:pPr>
      <w:r>
        <w:t xml:space="preserve">- </w:t>
      </w:r>
      <w:r w:rsidR="00657485" w:rsidRPr="00CC6DF8">
        <w:t xml:space="preserve">Fritts, D. C., &amp; Alexander, M. J. (2003). Gravity wave dynamics and effects in the middle atmosphere. </w:t>
      </w:r>
      <w:r w:rsidR="00657485" w:rsidRPr="006A2F3A">
        <w:rPr>
          <w:iCs/>
        </w:rPr>
        <w:t>Rev. Geophys.</w:t>
      </w:r>
      <w:r w:rsidR="00657485" w:rsidRPr="00CC6DF8">
        <w:t xml:space="preserve">, 41(1), </w:t>
      </w:r>
      <w:r w:rsidR="00657485" w:rsidRPr="00AB2D42">
        <w:t>2001RG000106</w:t>
      </w:r>
      <w:r w:rsidR="00657485" w:rsidRPr="00CC6DF8">
        <w:t>.</w:t>
      </w:r>
    </w:p>
    <w:p w:rsidR="00657485" w:rsidRPr="00CC6DF8" w:rsidRDefault="003D08AE" w:rsidP="003D08AE">
      <w:pPr>
        <w:spacing w:after="120" w:line="240" w:lineRule="auto"/>
        <w:jc w:val="both"/>
      </w:pPr>
      <w:r>
        <w:t xml:space="preserve">- </w:t>
      </w:r>
      <w:r w:rsidR="00657485" w:rsidRPr="00CC6DF8">
        <w:t>Trémoulu, S. (2026).</w:t>
      </w:r>
      <w:r w:rsidR="00657485" w:rsidRPr="0032176B">
        <w:t xml:space="preserve"> </w:t>
      </w:r>
      <w:r w:rsidR="00657485" w:rsidRPr="006A2F3A">
        <w:rPr>
          <w:iCs/>
        </w:rPr>
        <w:t>Analyse innovante et modélisation du couplage vertical ondulatoire du bassin Sud-Ouest de l'Océan Indien</w:t>
      </w:r>
      <w:r w:rsidR="00657485" w:rsidRPr="006A2F3A">
        <w:t>.</w:t>
      </w:r>
      <w:r w:rsidR="00657485" w:rsidRPr="00CC6DF8">
        <w:t xml:space="preserve"> Thèse de doctorat, Université de La Réunion.</w:t>
      </w:r>
    </w:p>
    <w:p w:rsidR="00657485" w:rsidRPr="002A311F" w:rsidRDefault="003D08AE" w:rsidP="003D08AE">
      <w:pPr>
        <w:spacing w:after="120" w:line="240" w:lineRule="auto"/>
        <w:jc w:val="both"/>
      </w:pPr>
      <w:r>
        <w:t xml:space="preserve">- </w:t>
      </w:r>
      <w:r w:rsidR="00657485" w:rsidRPr="00CC6DF8">
        <w:t>Trémoulu, S., et al. (2026</w:t>
      </w:r>
      <w:r w:rsidR="00657485">
        <w:t>). Implementation of a multiresolution analysis method to characterize multi-scale wave structures in lidar data. Atmospheric Measurement Techniques, 19(3), 1039-1058.</w:t>
      </w:r>
    </w:p>
    <w:sectPr w:rsidR="00657485" w:rsidRPr="002A311F" w:rsidSect="006B62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itstream Vera Sans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C4EF7"/>
    <w:multiLevelType w:val="multilevel"/>
    <w:tmpl w:val="41C20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861037"/>
    <w:multiLevelType w:val="hybridMultilevel"/>
    <w:tmpl w:val="A1F2448E"/>
    <w:lvl w:ilvl="0" w:tplc="8A543CE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34195"/>
    <w:multiLevelType w:val="multilevel"/>
    <w:tmpl w:val="77D4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A52023"/>
    <w:multiLevelType w:val="hybridMultilevel"/>
    <w:tmpl w:val="D24EAC5A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CE63E36"/>
    <w:multiLevelType w:val="hybridMultilevel"/>
    <w:tmpl w:val="B7EA1DC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173412"/>
    <w:multiLevelType w:val="multilevel"/>
    <w:tmpl w:val="C93C8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042132"/>
    <w:multiLevelType w:val="hybridMultilevel"/>
    <w:tmpl w:val="4FD63D2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C55384"/>
    <w:multiLevelType w:val="multilevel"/>
    <w:tmpl w:val="640A6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FF6FE5"/>
    <w:multiLevelType w:val="hybridMultilevel"/>
    <w:tmpl w:val="FC12EAF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7B7872"/>
    <w:multiLevelType w:val="multilevel"/>
    <w:tmpl w:val="F51A8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E221C3"/>
    <w:multiLevelType w:val="multilevel"/>
    <w:tmpl w:val="BD785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CB05D2"/>
    <w:multiLevelType w:val="hybridMultilevel"/>
    <w:tmpl w:val="13DAFA1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4D4BA3"/>
    <w:multiLevelType w:val="hybridMultilevel"/>
    <w:tmpl w:val="17349F4A"/>
    <w:lvl w:ilvl="0" w:tplc="2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C0019" w:tentative="1">
      <w:start w:val="1"/>
      <w:numFmt w:val="lowerLetter"/>
      <w:lvlText w:val="%2."/>
      <w:lvlJc w:val="left"/>
      <w:pPr>
        <w:ind w:left="1440" w:hanging="360"/>
      </w:pPr>
    </w:lvl>
    <w:lvl w:ilvl="2" w:tplc="200C001B" w:tentative="1">
      <w:start w:val="1"/>
      <w:numFmt w:val="lowerRoman"/>
      <w:lvlText w:val="%3."/>
      <w:lvlJc w:val="right"/>
      <w:pPr>
        <w:ind w:left="2160" w:hanging="180"/>
      </w:pPr>
    </w:lvl>
    <w:lvl w:ilvl="3" w:tplc="200C000F" w:tentative="1">
      <w:start w:val="1"/>
      <w:numFmt w:val="decimal"/>
      <w:lvlText w:val="%4."/>
      <w:lvlJc w:val="left"/>
      <w:pPr>
        <w:ind w:left="2880" w:hanging="360"/>
      </w:pPr>
    </w:lvl>
    <w:lvl w:ilvl="4" w:tplc="200C0019" w:tentative="1">
      <w:start w:val="1"/>
      <w:numFmt w:val="lowerLetter"/>
      <w:lvlText w:val="%5."/>
      <w:lvlJc w:val="left"/>
      <w:pPr>
        <w:ind w:left="3600" w:hanging="360"/>
      </w:pPr>
    </w:lvl>
    <w:lvl w:ilvl="5" w:tplc="200C001B" w:tentative="1">
      <w:start w:val="1"/>
      <w:numFmt w:val="lowerRoman"/>
      <w:lvlText w:val="%6."/>
      <w:lvlJc w:val="right"/>
      <w:pPr>
        <w:ind w:left="4320" w:hanging="180"/>
      </w:pPr>
    </w:lvl>
    <w:lvl w:ilvl="6" w:tplc="200C000F" w:tentative="1">
      <w:start w:val="1"/>
      <w:numFmt w:val="decimal"/>
      <w:lvlText w:val="%7."/>
      <w:lvlJc w:val="left"/>
      <w:pPr>
        <w:ind w:left="5040" w:hanging="360"/>
      </w:pPr>
    </w:lvl>
    <w:lvl w:ilvl="7" w:tplc="200C0019" w:tentative="1">
      <w:start w:val="1"/>
      <w:numFmt w:val="lowerLetter"/>
      <w:lvlText w:val="%8."/>
      <w:lvlJc w:val="left"/>
      <w:pPr>
        <w:ind w:left="5760" w:hanging="360"/>
      </w:pPr>
    </w:lvl>
    <w:lvl w:ilvl="8" w:tplc="2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4F6155"/>
    <w:multiLevelType w:val="multilevel"/>
    <w:tmpl w:val="98B26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7024AE"/>
    <w:multiLevelType w:val="hybridMultilevel"/>
    <w:tmpl w:val="CAC6B1D2"/>
    <w:lvl w:ilvl="0" w:tplc="8A543CE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6317D7"/>
    <w:multiLevelType w:val="multilevel"/>
    <w:tmpl w:val="95148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15"/>
  </w:num>
  <w:num w:numId="8">
    <w:abstractNumId w:val="10"/>
  </w:num>
  <w:num w:numId="9">
    <w:abstractNumId w:val="13"/>
  </w:num>
  <w:num w:numId="10">
    <w:abstractNumId w:val="5"/>
  </w:num>
  <w:num w:numId="11">
    <w:abstractNumId w:val="4"/>
  </w:num>
  <w:num w:numId="12">
    <w:abstractNumId w:val="11"/>
  </w:num>
  <w:num w:numId="13">
    <w:abstractNumId w:val="3"/>
  </w:num>
  <w:num w:numId="14">
    <w:abstractNumId w:val="6"/>
  </w:num>
  <w:num w:numId="15">
    <w:abstractNumId w:val="8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defaultTabStop w:val="708"/>
  <w:hyphenationZone w:val="425"/>
  <w:characterSpacingControl w:val="doNotCompress"/>
  <w:compat/>
  <w:rsids>
    <w:rsidRoot w:val="008D4D5C"/>
    <w:rsid w:val="000C2A6D"/>
    <w:rsid w:val="001839EF"/>
    <w:rsid w:val="001E51C2"/>
    <w:rsid w:val="00263349"/>
    <w:rsid w:val="0028373B"/>
    <w:rsid w:val="0029598E"/>
    <w:rsid w:val="002A311F"/>
    <w:rsid w:val="003065A8"/>
    <w:rsid w:val="0032176B"/>
    <w:rsid w:val="003D08AE"/>
    <w:rsid w:val="004013A0"/>
    <w:rsid w:val="0044225F"/>
    <w:rsid w:val="00657485"/>
    <w:rsid w:val="00670AAC"/>
    <w:rsid w:val="006A2F3A"/>
    <w:rsid w:val="006B6213"/>
    <w:rsid w:val="006E33EB"/>
    <w:rsid w:val="00883B6A"/>
    <w:rsid w:val="008D4D5C"/>
    <w:rsid w:val="009507F7"/>
    <w:rsid w:val="009E46DB"/>
    <w:rsid w:val="00A71367"/>
    <w:rsid w:val="00A8289E"/>
    <w:rsid w:val="00AB2D42"/>
    <w:rsid w:val="00C01853"/>
    <w:rsid w:val="00CC6DF8"/>
    <w:rsid w:val="00E718BF"/>
    <w:rsid w:val="00EA3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RE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213"/>
  </w:style>
  <w:style w:type="paragraph" w:styleId="Titre1">
    <w:name w:val="heading 1"/>
    <w:basedOn w:val="Normal"/>
    <w:next w:val="Normal"/>
    <w:link w:val="Titre1Car"/>
    <w:uiPriority w:val="9"/>
    <w:qFormat/>
    <w:rsid w:val="008D4D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D4D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D4D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D4D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D4D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D4D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D4D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D4D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D4D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4D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D4D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D4D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D4D5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D4D5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D4D5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D4D5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D4D5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D4D5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D4D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D4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D4D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D4D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D4D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D4D5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D4D5C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8D4D5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4D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D4D5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D4D5C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2A311F"/>
    <w:rPr>
      <w:color w:val="467886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2A311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qFormat/>
    <w:rsid w:val="004013A0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kern w:val="0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82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289E"/>
    <w:rPr>
      <w:rFonts w:ascii="Tahoma" w:hAnsi="Tahoma" w:cs="Tahoma"/>
      <w:sz w:val="16"/>
      <w:szCs w:val="16"/>
    </w:rPr>
  </w:style>
  <w:style w:type="paragraph" w:customStyle="1" w:styleId="isselectedend">
    <w:name w:val="isselectedend"/>
    <w:basedOn w:val="Normal"/>
    <w:rsid w:val="00A82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 w:eastAsia="fr-FR"/>
    </w:rPr>
  </w:style>
  <w:style w:type="character" w:styleId="lev">
    <w:name w:val="Strong"/>
    <w:basedOn w:val="Policepardfaut"/>
    <w:uiPriority w:val="22"/>
    <w:qFormat/>
    <w:rsid w:val="00A8289E"/>
    <w:rPr>
      <w:b/>
      <w:bCs/>
    </w:rPr>
  </w:style>
  <w:style w:type="character" w:styleId="Accentuation">
    <w:name w:val="Emphasis"/>
    <w:basedOn w:val="Policepardfaut"/>
    <w:uiPriority w:val="20"/>
    <w:qFormat/>
    <w:rsid w:val="00A8289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3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0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19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03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17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997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9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956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36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4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21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9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866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457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89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26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99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5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164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51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4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2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3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58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9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muel.tremoulu@univ-reunion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chane@univ-reunion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844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TREMOULU</dc:creator>
  <cp:keywords/>
  <dc:description/>
  <cp:lastModifiedBy>fchane</cp:lastModifiedBy>
  <cp:revision>11</cp:revision>
  <dcterms:created xsi:type="dcterms:W3CDTF">2026-08-28T07:15:00Z</dcterms:created>
  <dcterms:modified xsi:type="dcterms:W3CDTF">2026-09-20T12:42:00Z</dcterms:modified>
</cp:coreProperties>
</file>